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180C880" w14:textId="61EE0E8A" w:rsidR="009C24DA" w:rsidRPr="00EE24A2" w:rsidRDefault="00D62919" w:rsidP="23541EFB">
      <w:pPr>
        <w:spacing w:after="200"/>
        <w:jc w:val="center"/>
        <w:rPr>
          <w:rFonts w:ascii="Atkinson Hyperlegible" w:eastAsia="Atkinson Hyperlegible" w:hAnsi="Atkinson Hyperlegible" w:cs="Atkinson Hyperlegible"/>
          <w:b/>
          <w:bCs/>
          <w:sz w:val="24"/>
          <w:szCs w:val="24"/>
        </w:rPr>
      </w:pPr>
      <w:r w:rsidRPr="00EE24A2">
        <w:rPr>
          <w:rFonts w:ascii="Atkinson Hyperlegible" w:eastAsia="Atkinson Hyperlegible" w:hAnsi="Atkinson Hyperlegible" w:cs="Atkinson Hyperlegible"/>
          <w:b/>
          <w:bCs/>
          <w:sz w:val="50"/>
          <w:szCs w:val="50"/>
        </w:rPr>
        <w:t>Programació didàctica (</w:t>
      </w:r>
      <w:r w:rsidR="0016404C">
        <w:rPr>
          <w:rFonts w:ascii="Atkinson Hyperlegible" w:eastAsia="Atkinson Hyperlegible" w:hAnsi="Atkinson Hyperlegible" w:cs="Atkinson Hyperlegible"/>
          <w:b/>
          <w:bCs/>
          <w:sz w:val="50"/>
          <w:szCs w:val="50"/>
        </w:rPr>
        <w:t>BAT</w:t>
      </w:r>
      <w:r w:rsidRPr="00EE24A2">
        <w:rPr>
          <w:rFonts w:ascii="Atkinson Hyperlegible" w:eastAsia="Atkinson Hyperlegible" w:hAnsi="Atkinson Hyperlegible" w:cs="Atkinson Hyperlegible"/>
          <w:b/>
          <w:bCs/>
          <w:sz w:val="50"/>
          <w:szCs w:val="50"/>
        </w:rPr>
        <w:t>)</w:t>
      </w:r>
    </w:p>
    <w:tbl>
      <w:tblPr>
        <w:tblStyle w:val="a2"/>
        <w:tblW w:w="13995" w:type="dxa"/>
        <w:jc w:val="center"/>
        <w:tblInd w:w="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3090"/>
        <w:gridCol w:w="3635"/>
        <w:gridCol w:w="3635"/>
        <w:gridCol w:w="3635"/>
      </w:tblGrid>
      <w:tr w:rsidR="00190F24" w:rsidRPr="00EE24A2" w14:paraId="3DF2BC92" w14:textId="77777777" w:rsidTr="00190F24">
        <w:trPr>
          <w:trHeight w:val="231"/>
          <w:jc w:val="center"/>
        </w:trPr>
        <w:tc>
          <w:tcPr>
            <w:tcW w:w="3090" w:type="dxa"/>
            <w:shd w:val="clear" w:color="auto" w:fill="D9D9D9" w:themeFill="background1" w:themeFillShade="D9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0C5F278" w14:textId="6976CB81" w:rsidR="00190F24" w:rsidRPr="00EE24A2" w:rsidRDefault="00D820DF" w:rsidP="23541EFB">
            <w:pPr>
              <w:widowControl w:val="0"/>
              <w:spacing w:line="360" w:lineRule="auto"/>
              <w:jc w:val="left"/>
              <w:rPr>
                <w:rFonts w:ascii="Atkinson Hyperlegible" w:eastAsia="Atkinson Hyperlegible" w:hAnsi="Atkinson Hyperlegible" w:cs="Atkinson Hyperlegible"/>
                <w:b/>
                <w:bCs/>
                <w:color w:val="000000" w:themeColor="text1"/>
                <w:sz w:val="22"/>
                <w:szCs w:val="22"/>
              </w:rPr>
            </w:pPr>
            <w:r w:rsidRPr="00EE24A2">
              <w:rPr>
                <w:rFonts w:ascii="Atkinson Hyperlegible" w:eastAsia="Atkinson Hyperlegible" w:hAnsi="Atkinson Hyperlegible" w:cs="Atkinson Hyperlegible"/>
                <w:b/>
                <w:bCs/>
                <w:color w:val="000000" w:themeColor="text1"/>
                <w:sz w:val="22"/>
                <w:szCs w:val="22"/>
              </w:rPr>
              <w:t>C</w:t>
            </w:r>
            <w:r w:rsidR="00190F24" w:rsidRPr="00EE24A2">
              <w:rPr>
                <w:rFonts w:ascii="Atkinson Hyperlegible" w:eastAsia="Atkinson Hyperlegible" w:hAnsi="Atkinson Hyperlegible" w:cs="Atkinson Hyperlegible"/>
                <w:b/>
                <w:bCs/>
                <w:color w:val="000000" w:themeColor="text1"/>
                <w:sz w:val="22"/>
                <w:szCs w:val="22"/>
              </w:rPr>
              <w:t>urs</w:t>
            </w:r>
          </w:p>
        </w:tc>
        <w:tc>
          <w:tcPr>
            <w:tcW w:w="363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2811A81" w14:textId="5B41B3B7" w:rsidR="00190F24" w:rsidRPr="00EE24A2" w:rsidRDefault="00D820DF" w:rsidP="23541EFB">
            <w:pPr>
              <w:spacing w:line="288" w:lineRule="auto"/>
              <w:rPr>
                <w:rFonts w:ascii="Atkinson Hyperlegible" w:eastAsia="Atkinson Hyperlegible" w:hAnsi="Atkinson Hyperlegible" w:cs="Atkinson Hyperlegible"/>
                <w:i/>
                <w:iCs/>
                <w:color w:val="B7B7B7"/>
                <w:sz w:val="20"/>
                <w:szCs w:val="20"/>
              </w:rPr>
            </w:pPr>
            <w:r w:rsidRPr="00EE24A2">
              <w:rPr>
                <w:rFonts w:ascii="Atkinson Hyperlegible" w:eastAsia="Atkinson Hyperlegible" w:hAnsi="Atkinson Hyperlegible" w:cs="Atkinson Hyperlegible"/>
                <w:i/>
                <w:iCs/>
                <w:color w:val="B7B7B7"/>
                <w:sz w:val="20"/>
                <w:szCs w:val="20"/>
              </w:rPr>
              <w:t>1</w:t>
            </w:r>
            <w:r w:rsidR="0016404C">
              <w:rPr>
                <w:rFonts w:ascii="Atkinson Hyperlegible" w:eastAsia="Atkinson Hyperlegible" w:hAnsi="Atkinson Hyperlegible" w:cs="Atkinson Hyperlegible"/>
                <w:i/>
                <w:iCs/>
                <w:color w:val="B7B7B7"/>
                <w:sz w:val="20"/>
                <w:szCs w:val="20"/>
              </w:rPr>
              <w:t>r o 2n</w:t>
            </w:r>
          </w:p>
        </w:tc>
        <w:tc>
          <w:tcPr>
            <w:tcW w:w="3635" w:type="dxa"/>
            <w:shd w:val="clear" w:color="auto" w:fill="D9D9D9" w:themeFill="background1" w:themeFillShade="D9"/>
          </w:tcPr>
          <w:p w14:paraId="6DE2AD5D" w14:textId="40CC3F5B" w:rsidR="00190F24" w:rsidRPr="00EE24A2" w:rsidRDefault="00190F24" w:rsidP="00190F24">
            <w:pPr>
              <w:widowControl w:val="0"/>
              <w:spacing w:line="360" w:lineRule="auto"/>
              <w:jc w:val="left"/>
              <w:rPr>
                <w:rFonts w:ascii="Atkinson Hyperlegible" w:eastAsia="Atkinson Hyperlegible" w:hAnsi="Atkinson Hyperlegible" w:cs="Atkinson Hyperlegible"/>
                <w:b/>
                <w:bCs/>
                <w:color w:val="FFFFFF" w:themeColor="background1"/>
                <w:sz w:val="22"/>
                <w:szCs w:val="22"/>
              </w:rPr>
            </w:pPr>
            <w:r w:rsidRPr="00EE24A2">
              <w:rPr>
                <w:rFonts w:ascii="Atkinson Hyperlegible" w:eastAsia="Atkinson Hyperlegible" w:hAnsi="Atkinson Hyperlegible" w:cs="Atkinson Hyperlegible"/>
                <w:b/>
                <w:bCs/>
                <w:color w:val="000000" w:themeColor="text1"/>
                <w:sz w:val="22"/>
                <w:szCs w:val="22"/>
              </w:rPr>
              <w:t>Curs acadèmic</w:t>
            </w:r>
          </w:p>
        </w:tc>
        <w:tc>
          <w:tcPr>
            <w:tcW w:w="3635" w:type="dxa"/>
          </w:tcPr>
          <w:p w14:paraId="2DC54CA7" w14:textId="220660DB" w:rsidR="00190F24" w:rsidRPr="00EE24A2" w:rsidRDefault="00C504E5" w:rsidP="23541EFB">
            <w:pPr>
              <w:spacing w:line="288" w:lineRule="auto"/>
              <w:rPr>
                <w:rFonts w:ascii="Atkinson Hyperlegible" w:eastAsia="Atkinson Hyperlegible" w:hAnsi="Atkinson Hyperlegible" w:cs="Atkinson Hyperlegible"/>
                <w:i/>
                <w:iCs/>
                <w:color w:val="B7B7B7"/>
                <w:sz w:val="20"/>
                <w:szCs w:val="20"/>
              </w:rPr>
            </w:pPr>
            <w:r>
              <w:rPr>
                <w:rFonts w:ascii="Atkinson Hyperlegible" w:eastAsia="Atkinson Hyperlegible" w:hAnsi="Atkinson Hyperlegible" w:cs="Atkinson Hyperlegible"/>
                <w:i/>
                <w:iCs/>
                <w:color w:val="B7B7B7"/>
                <w:sz w:val="20"/>
                <w:szCs w:val="20"/>
              </w:rPr>
              <w:t>2026-2027</w:t>
            </w:r>
          </w:p>
        </w:tc>
      </w:tr>
      <w:tr w:rsidR="009C24DA" w:rsidRPr="00EE24A2" w14:paraId="382C68D1" w14:textId="77777777" w:rsidTr="0021609D">
        <w:trPr>
          <w:trHeight w:val="169"/>
          <w:jc w:val="center"/>
        </w:trPr>
        <w:tc>
          <w:tcPr>
            <w:tcW w:w="3090" w:type="dxa"/>
            <w:shd w:val="clear" w:color="auto" w:fill="0070C0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65B0A27" w14:textId="02986886" w:rsidR="009C24DA" w:rsidRPr="00EE24A2" w:rsidRDefault="00D820DF" w:rsidP="23541EFB">
            <w:pPr>
              <w:widowControl w:val="0"/>
              <w:spacing w:line="360" w:lineRule="auto"/>
              <w:jc w:val="left"/>
              <w:rPr>
                <w:rFonts w:ascii="Atkinson Hyperlegible" w:eastAsia="Atkinson Hyperlegible" w:hAnsi="Atkinson Hyperlegible" w:cs="Atkinson Hyperlegible"/>
                <w:b/>
                <w:bCs/>
                <w:sz w:val="22"/>
                <w:szCs w:val="22"/>
              </w:rPr>
            </w:pPr>
            <w:r w:rsidRPr="00EE24A2">
              <w:rPr>
                <w:rFonts w:ascii="Atkinson Hyperlegible" w:eastAsia="Atkinson Hyperlegible" w:hAnsi="Atkinson Hyperlegible" w:cs="Atkinson Hyperlegible"/>
                <w:b/>
                <w:bCs/>
                <w:color w:val="FFFFFF" w:themeColor="background1"/>
                <w:sz w:val="22"/>
                <w:szCs w:val="22"/>
              </w:rPr>
              <w:t xml:space="preserve">Matèria </w:t>
            </w:r>
          </w:p>
        </w:tc>
        <w:tc>
          <w:tcPr>
            <w:tcW w:w="10905" w:type="dxa"/>
            <w:gridSpan w:val="3"/>
            <w:shd w:val="clear" w:color="auto" w:fill="0070C0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FE6F011" w14:textId="69EAA0D1" w:rsidR="009C24DA" w:rsidRPr="00EE24A2" w:rsidRDefault="009C24DA" w:rsidP="23541EFB">
            <w:pPr>
              <w:spacing w:line="288" w:lineRule="auto"/>
              <w:rPr>
                <w:rFonts w:ascii="Atkinson Hyperlegible" w:eastAsia="Atkinson Hyperlegible" w:hAnsi="Atkinson Hyperlegible" w:cs="Atkinson Hyperlegible"/>
                <w:color w:val="FFFFFF" w:themeColor="background1"/>
                <w:sz w:val="20"/>
                <w:szCs w:val="20"/>
              </w:rPr>
            </w:pPr>
          </w:p>
        </w:tc>
      </w:tr>
      <w:tr w:rsidR="009C24DA" w:rsidRPr="00EE24A2" w14:paraId="0C2FE765" w14:textId="77777777" w:rsidTr="23541EFB">
        <w:trPr>
          <w:trHeight w:val="493"/>
          <w:jc w:val="center"/>
        </w:trPr>
        <w:tc>
          <w:tcPr>
            <w:tcW w:w="3090" w:type="dxa"/>
            <w:shd w:val="clear" w:color="auto" w:fill="D9D9D9" w:themeFill="background1" w:themeFillShade="D9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F215686" w14:textId="31B5208E" w:rsidR="009C24DA" w:rsidRPr="00EE24A2" w:rsidRDefault="00D820DF" w:rsidP="23541EFB">
            <w:pPr>
              <w:widowControl w:val="0"/>
              <w:spacing w:line="360" w:lineRule="auto"/>
              <w:jc w:val="left"/>
              <w:rPr>
                <w:rFonts w:ascii="Atkinson Hyperlegible" w:eastAsia="Atkinson Hyperlegible" w:hAnsi="Atkinson Hyperlegible" w:cs="Atkinson Hyperlegible"/>
                <w:b/>
                <w:bCs/>
                <w:sz w:val="22"/>
                <w:szCs w:val="22"/>
              </w:rPr>
            </w:pPr>
            <w:r w:rsidRPr="00EE24A2">
              <w:rPr>
                <w:rFonts w:ascii="Atkinson Hyperlegible" w:eastAsia="Atkinson Hyperlegible" w:hAnsi="Atkinson Hyperlegible" w:cs="Atkinson Hyperlegible"/>
                <w:b/>
                <w:bCs/>
                <w:sz w:val="22"/>
                <w:szCs w:val="22"/>
              </w:rPr>
              <w:t>Competències específiques i criteris d’avaluació per a tot el curs</w:t>
            </w:r>
          </w:p>
        </w:tc>
        <w:tc>
          <w:tcPr>
            <w:tcW w:w="10905" w:type="dxa"/>
            <w:gridSpan w:val="3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8844D95" w14:textId="1ACEDC9B" w:rsidR="009C24DA" w:rsidRPr="00EE24A2" w:rsidRDefault="0016404C" w:rsidP="23541EFB">
            <w:pPr>
              <w:spacing w:line="288" w:lineRule="auto"/>
              <w:rPr>
                <w:rFonts w:ascii="Atkinson Hyperlegible" w:eastAsia="Atkinson Hyperlegible" w:hAnsi="Atkinson Hyperlegible" w:cs="Atkinson Hyperlegible"/>
                <w:i/>
                <w:iCs/>
                <w:color w:val="B7B7B7"/>
                <w:sz w:val="20"/>
                <w:szCs w:val="20"/>
              </w:rPr>
            </w:pPr>
            <w:r>
              <w:rPr>
                <w:rFonts w:ascii="Atkinson Hyperlegible" w:eastAsia="Atkinson Hyperlegible" w:hAnsi="Atkinson Hyperlegible" w:cs="Atkinson Hyperlegible"/>
                <w:i/>
                <w:iCs/>
                <w:color w:val="B7B7B7"/>
                <w:sz w:val="20"/>
                <w:szCs w:val="20"/>
              </w:rPr>
              <w:t xml:space="preserve">Recordeu que en totes les matèries de batxillerat cal incloure totes les CE i CA. En cap cas són </w:t>
            </w:r>
            <w:proofErr w:type="spellStart"/>
            <w:r>
              <w:rPr>
                <w:rFonts w:ascii="Atkinson Hyperlegible" w:eastAsia="Atkinson Hyperlegible" w:hAnsi="Atkinson Hyperlegible" w:cs="Atkinson Hyperlegible"/>
                <w:i/>
                <w:iCs/>
                <w:color w:val="B7B7B7"/>
                <w:sz w:val="20"/>
                <w:szCs w:val="20"/>
              </w:rPr>
              <w:t>seqüenciables</w:t>
            </w:r>
            <w:proofErr w:type="spellEnd"/>
            <w:r>
              <w:rPr>
                <w:rFonts w:ascii="Atkinson Hyperlegible" w:eastAsia="Atkinson Hyperlegible" w:hAnsi="Atkinson Hyperlegible" w:cs="Atkinson Hyperlegible"/>
                <w:i/>
                <w:iCs/>
                <w:color w:val="B7B7B7"/>
                <w:sz w:val="20"/>
                <w:szCs w:val="20"/>
              </w:rPr>
              <w:t xml:space="preserve"> ni es poden traspassar d’un curs a un altre.</w:t>
            </w:r>
          </w:p>
          <w:p w14:paraId="53A0567D" w14:textId="03648EEC" w:rsidR="00CD3130" w:rsidRPr="0016404C" w:rsidRDefault="00CD3130" w:rsidP="23541EFB">
            <w:pPr>
              <w:spacing w:line="288" w:lineRule="auto"/>
              <w:rPr>
                <w:rFonts w:ascii="Atkinson Hyperlegible" w:eastAsia="Atkinson Hyperlegible" w:hAnsi="Atkinson Hyperlegible" w:cs="Atkinson Hyperlegible"/>
                <w:i/>
                <w:iCs/>
                <w:color w:val="B7B7B7"/>
                <w:sz w:val="20"/>
                <w:szCs w:val="20"/>
              </w:rPr>
            </w:pPr>
            <w:r w:rsidRPr="00EE24A2">
              <w:rPr>
                <w:rFonts w:ascii="Atkinson Hyperlegible" w:eastAsia="Atkinson Hyperlegible" w:hAnsi="Atkinson Hyperlegible" w:cs="Atkinson Hyperlegible"/>
                <w:i/>
                <w:iCs/>
                <w:color w:val="B7B7B7"/>
                <w:sz w:val="20"/>
                <w:szCs w:val="20"/>
              </w:rPr>
              <w:t xml:space="preserve">Podeu descarregar-vos el currículum de les matèries en la pàgina web del </w:t>
            </w:r>
            <w:hyperlink r:id="rId8" w:history="1">
              <w:r w:rsidRPr="00031A20">
                <w:rPr>
                  <w:rStyle w:val="Hipervnculo"/>
                  <w:rFonts w:ascii="Atkinson Hyperlegible" w:eastAsia="Atkinson Hyperlegible" w:hAnsi="Atkinson Hyperlegible" w:cs="Atkinson Hyperlegible"/>
                  <w:i/>
                  <w:iCs/>
                  <w:sz w:val="20"/>
                  <w:szCs w:val="20"/>
                </w:rPr>
                <w:t>Servei d’Ordenació Educativa.</w:t>
              </w:r>
            </w:hyperlink>
          </w:p>
        </w:tc>
      </w:tr>
      <w:tr w:rsidR="009C24DA" w:rsidRPr="00EE24A2" w14:paraId="6B0D6613" w14:textId="77777777" w:rsidTr="00300FDE">
        <w:trPr>
          <w:trHeight w:val="275"/>
          <w:jc w:val="center"/>
        </w:trPr>
        <w:tc>
          <w:tcPr>
            <w:tcW w:w="3090" w:type="dxa"/>
            <w:shd w:val="clear" w:color="auto" w:fill="D9D9D9" w:themeFill="background1" w:themeFillShade="D9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F241CF7" w14:textId="32BF22B2" w:rsidR="009C24DA" w:rsidRPr="00EE24A2" w:rsidRDefault="00E37E59" w:rsidP="23541EFB">
            <w:pPr>
              <w:widowControl w:val="0"/>
              <w:spacing w:line="360" w:lineRule="auto"/>
              <w:jc w:val="left"/>
              <w:rPr>
                <w:rFonts w:ascii="Atkinson Hyperlegible" w:eastAsia="Atkinson Hyperlegible" w:hAnsi="Atkinson Hyperlegible" w:cs="Atkinson Hyperlegible"/>
                <w:b/>
                <w:bCs/>
                <w:sz w:val="22"/>
                <w:szCs w:val="22"/>
              </w:rPr>
            </w:pPr>
            <w:r w:rsidRPr="00EE24A2">
              <w:rPr>
                <w:rFonts w:ascii="Atkinson Hyperlegible" w:eastAsia="Atkinson Hyperlegible" w:hAnsi="Atkinson Hyperlegible" w:cs="Atkinson Hyperlegible"/>
                <w:b/>
                <w:bCs/>
                <w:sz w:val="22"/>
                <w:szCs w:val="22"/>
              </w:rPr>
              <w:t>Sabers bàsics</w:t>
            </w:r>
            <w:r w:rsidR="00D820DF" w:rsidRPr="00EE24A2">
              <w:rPr>
                <w:rFonts w:ascii="Atkinson Hyperlegible" w:eastAsia="Atkinson Hyperlegible" w:hAnsi="Atkinson Hyperlegible" w:cs="Atkinson Hyperlegible"/>
                <w:b/>
                <w:bCs/>
                <w:sz w:val="22"/>
                <w:szCs w:val="22"/>
              </w:rPr>
              <w:t xml:space="preserve"> seqüenciats i temporitzats, organitzats en unitats de programació</w:t>
            </w:r>
          </w:p>
        </w:tc>
        <w:tc>
          <w:tcPr>
            <w:tcW w:w="10905" w:type="dxa"/>
            <w:gridSpan w:val="3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D56217B" w14:textId="167758C7" w:rsidR="00CD3130" w:rsidRPr="00EE24A2" w:rsidRDefault="0016404C" w:rsidP="00CD3130">
            <w:pPr>
              <w:spacing w:line="288" w:lineRule="auto"/>
              <w:rPr>
                <w:rFonts w:ascii="Atkinson Hyperlegible" w:eastAsia="Atkinson Hyperlegible" w:hAnsi="Atkinson Hyperlegible" w:cs="Atkinson Hyperlegible"/>
                <w:i/>
                <w:iCs/>
                <w:color w:val="B7B7B7"/>
                <w:sz w:val="20"/>
                <w:szCs w:val="20"/>
              </w:rPr>
            </w:pPr>
            <w:r>
              <w:rPr>
                <w:rFonts w:ascii="Atkinson Hyperlegible" w:eastAsia="Atkinson Hyperlegible" w:hAnsi="Atkinson Hyperlegible" w:cs="Atkinson Hyperlegible"/>
                <w:i/>
                <w:iCs/>
                <w:color w:val="B7B7B7"/>
                <w:sz w:val="20"/>
                <w:szCs w:val="20"/>
              </w:rPr>
              <w:t xml:space="preserve">Recordeu que en totes les matèries de batxillerat cal incloure tots els sabers bàsics. En cap cas són </w:t>
            </w:r>
            <w:proofErr w:type="spellStart"/>
            <w:r>
              <w:rPr>
                <w:rFonts w:ascii="Atkinson Hyperlegible" w:eastAsia="Atkinson Hyperlegible" w:hAnsi="Atkinson Hyperlegible" w:cs="Atkinson Hyperlegible"/>
                <w:i/>
                <w:iCs/>
                <w:color w:val="B7B7B7"/>
                <w:sz w:val="20"/>
                <w:szCs w:val="20"/>
              </w:rPr>
              <w:t>seqüenciables</w:t>
            </w:r>
            <w:proofErr w:type="spellEnd"/>
            <w:r>
              <w:rPr>
                <w:rFonts w:ascii="Atkinson Hyperlegible" w:eastAsia="Atkinson Hyperlegible" w:hAnsi="Atkinson Hyperlegible" w:cs="Atkinson Hyperlegible"/>
                <w:i/>
                <w:iCs/>
                <w:color w:val="B7B7B7"/>
                <w:sz w:val="20"/>
                <w:szCs w:val="20"/>
              </w:rPr>
              <w:t xml:space="preserve"> ni es poden traspassar d’un curs a un altre.</w:t>
            </w:r>
          </w:p>
          <w:p w14:paraId="27CD0D20" w14:textId="478A5FDD" w:rsidR="009C24DA" w:rsidRPr="00EE24A2" w:rsidRDefault="00CD3130" w:rsidP="00CD3130">
            <w:pPr>
              <w:spacing w:line="288" w:lineRule="auto"/>
              <w:rPr>
                <w:rFonts w:ascii="Atkinson Hyperlegible" w:eastAsia="Atkinson Hyperlegible" w:hAnsi="Atkinson Hyperlegible" w:cs="Atkinson Hyperlegible"/>
                <w:i/>
                <w:iCs/>
                <w:color w:val="B7B7B7"/>
                <w:sz w:val="20"/>
                <w:szCs w:val="20"/>
              </w:rPr>
            </w:pPr>
            <w:r w:rsidRPr="00EE24A2">
              <w:rPr>
                <w:rFonts w:ascii="Atkinson Hyperlegible" w:eastAsia="Atkinson Hyperlegible" w:hAnsi="Atkinson Hyperlegible" w:cs="Atkinson Hyperlegible"/>
                <w:i/>
                <w:iCs/>
                <w:color w:val="B7B7B7"/>
                <w:sz w:val="20"/>
                <w:szCs w:val="20"/>
              </w:rPr>
              <w:t xml:space="preserve">Podeu descarregar-vos el currículum de les matèries en la pàgina web del </w:t>
            </w:r>
            <w:hyperlink r:id="rId9" w:history="1">
              <w:r w:rsidRPr="00031A20">
                <w:rPr>
                  <w:rStyle w:val="Hipervnculo"/>
                  <w:rFonts w:ascii="Atkinson Hyperlegible" w:eastAsia="Atkinson Hyperlegible" w:hAnsi="Atkinson Hyperlegible" w:cs="Atkinson Hyperlegible"/>
                  <w:i/>
                  <w:iCs/>
                  <w:sz w:val="20"/>
                  <w:szCs w:val="20"/>
                </w:rPr>
                <w:t>Servei d’Ordenació Educativa.</w:t>
              </w:r>
            </w:hyperlink>
          </w:p>
          <w:p w14:paraId="0A37501D" w14:textId="71301CAD" w:rsidR="00CD3130" w:rsidRPr="00EE24A2" w:rsidRDefault="00CD3130" w:rsidP="00CD3130">
            <w:pPr>
              <w:spacing w:line="288" w:lineRule="auto"/>
              <w:rPr>
                <w:rFonts w:ascii="Atkinson Hyperlegible" w:eastAsia="Atkinson Hyperlegible" w:hAnsi="Atkinson Hyperlegible" w:cs="Atkinson Hyperlegible"/>
                <w:sz w:val="20"/>
                <w:szCs w:val="20"/>
                <w:highlight w:val="yellow"/>
              </w:rPr>
            </w:pPr>
            <w:r w:rsidRPr="00EE24A2">
              <w:rPr>
                <w:rFonts w:ascii="Atkinson Hyperlegible" w:eastAsia="Atkinson Hyperlegible" w:hAnsi="Atkinson Hyperlegible" w:cs="Atkinson Hyperlegible"/>
                <w:i/>
                <w:iCs/>
                <w:color w:val="B7B7B7"/>
                <w:sz w:val="20"/>
                <w:szCs w:val="20"/>
              </w:rPr>
              <w:t>Una vegada incorporats, els haureu d’organitzar en unitats de programació.</w:t>
            </w:r>
          </w:p>
        </w:tc>
      </w:tr>
      <w:tr w:rsidR="0021609D" w:rsidRPr="00EE24A2" w14:paraId="00EAE456" w14:textId="77777777" w:rsidTr="23541EFB">
        <w:trPr>
          <w:trHeight w:val="420"/>
          <w:jc w:val="center"/>
        </w:trPr>
        <w:tc>
          <w:tcPr>
            <w:tcW w:w="3090" w:type="dxa"/>
            <w:shd w:val="clear" w:color="auto" w:fill="D9D9D9" w:themeFill="background1" w:themeFillShade="D9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857E693" w14:textId="39010BD0" w:rsidR="0021609D" w:rsidRPr="00EE24A2" w:rsidRDefault="00D820DF" w:rsidP="23541EFB">
            <w:pPr>
              <w:widowControl w:val="0"/>
              <w:spacing w:line="360" w:lineRule="auto"/>
              <w:jc w:val="left"/>
              <w:rPr>
                <w:rFonts w:ascii="Atkinson Hyperlegible" w:eastAsia="Atkinson Hyperlegible" w:hAnsi="Atkinson Hyperlegible" w:cs="Atkinson Hyperlegible"/>
                <w:b/>
                <w:bCs/>
                <w:sz w:val="22"/>
                <w:szCs w:val="22"/>
              </w:rPr>
            </w:pPr>
            <w:r w:rsidRPr="00EE24A2">
              <w:rPr>
                <w:rFonts w:ascii="Atkinson Hyperlegible" w:eastAsia="Atkinson Hyperlegible" w:hAnsi="Atkinson Hyperlegible" w:cs="Atkinson Hyperlegible"/>
                <w:b/>
                <w:bCs/>
                <w:sz w:val="22"/>
                <w:szCs w:val="22"/>
              </w:rPr>
              <w:t>Processos i instruments d’avaluació</w:t>
            </w:r>
          </w:p>
        </w:tc>
        <w:tc>
          <w:tcPr>
            <w:tcW w:w="10905" w:type="dxa"/>
            <w:gridSpan w:val="3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0B970DB" w14:textId="153205B1" w:rsidR="00CD3130" w:rsidRDefault="0036601E" w:rsidP="00CD3130">
            <w:pPr>
              <w:spacing w:line="288" w:lineRule="auto"/>
              <w:rPr>
                <w:rFonts w:ascii="Atkinson Hyperlegible" w:eastAsia="Atkinson Hyperlegible" w:hAnsi="Atkinson Hyperlegible" w:cs="Atkinson Hyperlegible"/>
                <w:i/>
                <w:iCs/>
                <w:color w:val="B7B7B7"/>
                <w:sz w:val="20"/>
                <w:szCs w:val="20"/>
              </w:rPr>
            </w:pPr>
            <w:r>
              <w:rPr>
                <w:rFonts w:ascii="Atkinson Hyperlegible" w:eastAsia="Atkinson Hyperlegible" w:hAnsi="Atkinson Hyperlegible" w:cs="Atkinson Hyperlegible"/>
                <w:i/>
                <w:iCs/>
                <w:color w:val="B7B7B7"/>
                <w:sz w:val="20"/>
                <w:szCs w:val="20"/>
              </w:rPr>
              <w:t>Cal</w:t>
            </w:r>
            <w:r w:rsidR="00CD3130" w:rsidRPr="00CD3130">
              <w:rPr>
                <w:rFonts w:ascii="Atkinson Hyperlegible" w:eastAsia="Atkinson Hyperlegible" w:hAnsi="Atkinson Hyperlegible" w:cs="Atkinson Hyperlegible"/>
                <w:i/>
                <w:iCs/>
                <w:color w:val="B7B7B7"/>
                <w:sz w:val="20"/>
                <w:szCs w:val="20"/>
              </w:rPr>
              <w:t xml:space="preserve"> descriure com organitzar</w:t>
            </w:r>
            <w:r w:rsidR="00031A20">
              <w:rPr>
                <w:rFonts w:ascii="Atkinson Hyperlegible" w:eastAsia="Atkinson Hyperlegible" w:hAnsi="Atkinson Hyperlegible" w:cs="Atkinson Hyperlegible"/>
                <w:i/>
                <w:iCs/>
                <w:color w:val="B7B7B7"/>
                <w:sz w:val="20"/>
                <w:szCs w:val="20"/>
              </w:rPr>
              <w:t>eu</w:t>
            </w:r>
            <w:r w:rsidR="00CD3130" w:rsidRPr="00CD3130">
              <w:rPr>
                <w:rFonts w:ascii="Atkinson Hyperlegible" w:eastAsia="Atkinson Hyperlegible" w:hAnsi="Atkinson Hyperlegible" w:cs="Atkinson Hyperlegible"/>
                <w:i/>
                <w:iCs/>
                <w:color w:val="B7B7B7"/>
                <w:sz w:val="20"/>
                <w:szCs w:val="20"/>
              </w:rPr>
              <w:t xml:space="preserve"> l’avaluació dels teus alumnes assegurant que</w:t>
            </w:r>
            <w:r w:rsidR="00CD3130" w:rsidRPr="00EE24A2">
              <w:rPr>
                <w:rFonts w:ascii="Atkinson Hyperlegible" w:eastAsia="Atkinson Hyperlegible" w:hAnsi="Atkinson Hyperlegible" w:cs="Atkinson Hyperlegible"/>
                <w:i/>
                <w:iCs/>
                <w:color w:val="B7B7B7"/>
                <w:sz w:val="20"/>
                <w:szCs w:val="20"/>
              </w:rPr>
              <w:t xml:space="preserve"> sigui</w:t>
            </w:r>
            <w:r w:rsidR="00CD3130" w:rsidRPr="00CD3130">
              <w:rPr>
                <w:rFonts w:ascii="Atkinson Hyperlegible" w:eastAsia="Atkinson Hyperlegible" w:hAnsi="Atkinson Hyperlegible" w:cs="Atkinson Hyperlegible"/>
                <w:i/>
                <w:iCs/>
                <w:color w:val="B7B7B7"/>
                <w:sz w:val="20"/>
                <w:szCs w:val="20"/>
              </w:rPr>
              <w:t xml:space="preserve"> contínua, formativa i </w:t>
            </w:r>
            <w:r w:rsidR="0016404C">
              <w:rPr>
                <w:rFonts w:ascii="Atkinson Hyperlegible" w:eastAsia="Atkinson Hyperlegible" w:hAnsi="Atkinson Hyperlegible" w:cs="Atkinson Hyperlegible"/>
                <w:i/>
                <w:iCs/>
                <w:color w:val="B7B7B7"/>
                <w:sz w:val="20"/>
                <w:szCs w:val="20"/>
              </w:rPr>
              <w:t>diferenciada per a aquesta matèria.</w:t>
            </w:r>
            <w:r w:rsidR="00CD3130" w:rsidRPr="00CD3130">
              <w:rPr>
                <w:rFonts w:ascii="Atkinson Hyperlegible" w:eastAsia="Atkinson Hyperlegible" w:hAnsi="Atkinson Hyperlegible" w:cs="Atkinson Hyperlegible"/>
                <w:i/>
                <w:iCs/>
                <w:color w:val="B7B7B7"/>
                <w:sz w:val="20"/>
                <w:szCs w:val="20"/>
              </w:rPr>
              <w:t> </w:t>
            </w:r>
          </w:p>
          <w:p w14:paraId="186CBF3E" w14:textId="26587EBD" w:rsidR="0036601E" w:rsidRDefault="0036601E" w:rsidP="00CD3130">
            <w:pPr>
              <w:spacing w:line="288" w:lineRule="auto"/>
              <w:rPr>
                <w:rFonts w:ascii="Atkinson Hyperlegible" w:eastAsia="Atkinson Hyperlegible" w:hAnsi="Atkinson Hyperlegible" w:cs="Atkinson Hyperlegible"/>
                <w:i/>
                <w:iCs/>
                <w:color w:val="B7B7B7"/>
                <w:sz w:val="20"/>
                <w:szCs w:val="20"/>
              </w:rPr>
            </w:pPr>
            <w:r>
              <w:rPr>
                <w:rFonts w:ascii="Atkinson Hyperlegible" w:eastAsia="Atkinson Hyperlegible" w:hAnsi="Atkinson Hyperlegible" w:cs="Atkinson Hyperlegible"/>
                <w:i/>
                <w:iCs/>
                <w:color w:val="B7B7B7"/>
                <w:sz w:val="20"/>
                <w:szCs w:val="20"/>
              </w:rPr>
              <w:t>Aclariments:</w:t>
            </w:r>
          </w:p>
          <w:p w14:paraId="3C21E1EB" w14:textId="77777777" w:rsidR="0036601E" w:rsidRPr="00AA0CFD" w:rsidRDefault="0036601E" w:rsidP="0036601E">
            <w:pPr>
              <w:pStyle w:val="Prrafodelista"/>
              <w:numPr>
                <w:ilvl w:val="0"/>
                <w:numId w:val="1"/>
              </w:numPr>
              <w:spacing w:line="288" w:lineRule="auto"/>
              <w:rPr>
                <w:rFonts w:ascii="Atkinson Hyperlegible" w:eastAsia="Atkinson Hyperlegible" w:hAnsi="Atkinson Hyperlegible" w:cs="Atkinson Hyperlegible"/>
                <w:i/>
                <w:iCs/>
                <w:color w:val="B7B7B7"/>
                <w:sz w:val="20"/>
                <w:szCs w:val="20"/>
              </w:rPr>
            </w:pPr>
            <w:r w:rsidRPr="00AA0CFD">
              <w:rPr>
                <w:rFonts w:ascii="Atkinson Hyperlegible" w:eastAsia="Atkinson Hyperlegible" w:hAnsi="Atkinson Hyperlegible" w:cs="Atkinson Hyperlegible"/>
                <w:i/>
                <w:iCs/>
                <w:color w:val="B7B7B7"/>
                <w:sz w:val="20"/>
                <w:szCs w:val="20"/>
              </w:rPr>
              <w:t xml:space="preserve">L'avaluació </w:t>
            </w:r>
            <w:r w:rsidRPr="00AA0CFD">
              <w:rPr>
                <w:rFonts w:ascii="Atkinson Hyperlegible" w:eastAsia="Atkinson Hyperlegible" w:hAnsi="Atkinson Hyperlegible" w:cs="Atkinson Hyperlegible"/>
                <w:b/>
                <w:bCs/>
                <w:i/>
                <w:iCs/>
                <w:color w:val="B7B7B7"/>
                <w:sz w:val="20"/>
                <w:szCs w:val="20"/>
              </w:rPr>
              <w:t>contínua</w:t>
            </w:r>
            <w:r w:rsidRPr="00AA0CFD">
              <w:rPr>
                <w:rFonts w:ascii="Atkinson Hyperlegible" w:eastAsia="Atkinson Hyperlegible" w:hAnsi="Atkinson Hyperlegible" w:cs="Atkinson Hyperlegible"/>
                <w:i/>
                <w:iCs/>
                <w:color w:val="B7B7B7"/>
                <w:sz w:val="20"/>
                <w:szCs w:val="20"/>
              </w:rPr>
              <w:t xml:space="preserve">, en aquesta etapa, es realitza al llarg de tot el curs. </w:t>
            </w:r>
          </w:p>
          <w:p w14:paraId="7AE4C97D" w14:textId="77777777" w:rsidR="0036601E" w:rsidRDefault="0036601E" w:rsidP="0036601E">
            <w:pPr>
              <w:pStyle w:val="Prrafodelista"/>
              <w:numPr>
                <w:ilvl w:val="0"/>
                <w:numId w:val="1"/>
              </w:numPr>
              <w:spacing w:line="288" w:lineRule="auto"/>
              <w:rPr>
                <w:rFonts w:ascii="Atkinson Hyperlegible" w:eastAsia="Atkinson Hyperlegible" w:hAnsi="Atkinson Hyperlegible" w:cs="Atkinson Hyperlegible"/>
                <w:i/>
                <w:iCs/>
                <w:color w:val="B7B7B7"/>
                <w:sz w:val="20"/>
                <w:szCs w:val="20"/>
              </w:rPr>
            </w:pPr>
            <w:r w:rsidRPr="00AA0CFD">
              <w:rPr>
                <w:rFonts w:ascii="Atkinson Hyperlegible" w:eastAsia="Atkinson Hyperlegible" w:hAnsi="Atkinson Hyperlegible" w:cs="Atkinson Hyperlegible"/>
                <w:i/>
                <w:iCs/>
                <w:color w:val="B7B7B7"/>
                <w:sz w:val="20"/>
                <w:szCs w:val="20"/>
              </w:rPr>
              <w:t xml:space="preserve">L'avaluació </w:t>
            </w:r>
            <w:r w:rsidRPr="00AA0CFD">
              <w:rPr>
                <w:rFonts w:ascii="Atkinson Hyperlegible" w:eastAsia="Atkinson Hyperlegible" w:hAnsi="Atkinson Hyperlegible" w:cs="Atkinson Hyperlegible"/>
                <w:b/>
                <w:bCs/>
                <w:i/>
                <w:iCs/>
                <w:color w:val="B7B7B7"/>
                <w:sz w:val="20"/>
                <w:szCs w:val="20"/>
              </w:rPr>
              <w:t>formativa</w:t>
            </w:r>
            <w:r w:rsidRPr="00AA0CFD">
              <w:rPr>
                <w:rFonts w:ascii="Atkinson Hyperlegible" w:eastAsia="Atkinson Hyperlegible" w:hAnsi="Atkinson Hyperlegible" w:cs="Atkinson Hyperlegible"/>
                <w:i/>
                <w:iCs/>
                <w:color w:val="B7B7B7"/>
                <w:sz w:val="20"/>
                <w:szCs w:val="20"/>
              </w:rPr>
              <w:t xml:space="preserve"> acompanya el procés d'aprenentatge mitjançant la comunicació contínua i la retroacció entre els docents i els alumnes, tot donant orientacions encaminades a la reflexió, l'autoconeixement i la millora de l'aprenentatge, dels resultats i del desenvolupament de les competències. </w:t>
            </w:r>
          </w:p>
          <w:p w14:paraId="04D3B011" w14:textId="1B75E316" w:rsidR="0036601E" w:rsidRPr="0036601E" w:rsidRDefault="0036601E" w:rsidP="00CD3130">
            <w:pPr>
              <w:pStyle w:val="Prrafodelista"/>
              <w:numPr>
                <w:ilvl w:val="0"/>
                <w:numId w:val="1"/>
              </w:numPr>
              <w:spacing w:line="288" w:lineRule="auto"/>
              <w:rPr>
                <w:rFonts w:ascii="Atkinson Hyperlegible" w:eastAsia="Atkinson Hyperlegible" w:hAnsi="Atkinson Hyperlegible" w:cs="Atkinson Hyperlegible"/>
                <w:i/>
                <w:iCs/>
                <w:color w:val="B7B7B7"/>
                <w:sz w:val="20"/>
                <w:szCs w:val="20"/>
              </w:rPr>
            </w:pPr>
            <w:r w:rsidRPr="0036601E">
              <w:rPr>
                <w:rFonts w:ascii="Atkinson Hyperlegible" w:eastAsia="Atkinson Hyperlegible" w:hAnsi="Atkinson Hyperlegible" w:cs="Atkinson Hyperlegible"/>
                <w:i/>
                <w:iCs/>
                <w:color w:val="B7B7B7"/>
                <w:sz w:val="20"/>
                <w:szCs w:val="20"/>
              </w:rPr>
              <w:t>L</w:t>
            </w:r>
            <w:r w:rsidRPr="0036601E">
              <w:rPr>
                <w:rFonts w:ascii="Atkinson Hyperlegible" w:eastAsia="Atkinson Hyperlegible" w:hAnsi="Atkinson Hyperlegible" w:cs="Atkinson Hyperlegible"/>
                <w:i/>
                <w:iCs/>
                <w:color w:val="B7B7B7"/>
                <w:sz w:val="20"/>
                <w:szCs w:val="20"/>
              </w:rPr>
              <w:t xml:space="preserve">'avaluació ha de ser </w:t>
            </w:r>
            <w:r w:rsidRPr="0036601E">
              <w:rPr>
                <w:rFonts w:ascii="Atkinson Hyperlegible" w:eastAsia="Atkinson Hyperlegible" w:hAnsi="Atkinson Hyperlegible" w:cs="Atkinson Hyperlegible"/>
                <w:b/>
                <w:bCs/>
                <w:i/>
                <w:iCs/>
                <w:color w:val="B7B7B7"/>
                <w:sz w:val="20"/>
                <w:szCs w:val="20"/>
              </w:rPr>
              <w:t xml:space="preserve">diferenciada </w:t>
            </w:r>
            <w:r w:rsidRPr="0036601E">
              <w:rPr>
                <w:rFonts w:ascii="Atkinson Hyperlegible" w:eastAsia="Atkinson Hyperlegible" w:hAnsi="Atkinson Hyperlegible" w:cs="Atkinson Hyperlegible"/>
                <w:b/>
                <w:bCs/>
                <w:i/>
                <w:iCs/>
                <w:color w:val="B7B7B7"/>
                <w:sz w:val="20"/>
                <w:szCs w:val="20"/>
              </w:rPr>
              <w:t>per matèries</w:t>
            </w:r>
            <w:r>
              <w:rPr>
                <w:rFonts w:ascii="Atkinson Hyperlegible" w:eastAsia="Atkinson Hyperlegible" w:hAnsi="Atkinson Hyperlegible" w:cs="Atkinson Hyperlegible"/>
                <w:i/>
                <w:iCs/>
                <w:color w:val="B7B7B7"/>
                <w:sz w:val="20"/>
                <w:szCs w:val="20"/>
              </w:rPr>
              <w:t xml:space="preserve"> </w:t>
            </w:r>
            <w:r w:rsidRPr="0036601E">
              <w:rPr>
                <w:rFonts w:ascii="Atkinson Hyperlegible" w:eastAsia="Atkinson Hyperlegible" w:hAnsi="Atkinson Hyperlegible" w:cs="Atkinson Hyperlegible"/>
                <w:i/>
                <w:iCs/>
                <w:color w:val="B7B7B7"/>
                <w:sz w:val="20"/>
                <w:szCs w:val="20"/>
              </w:rPr>
              <w:t>en el sentit que ha de permetre valorar, des de cadascuna de les matèries, la consecució dels objectius de l'etapa i l'adquisició de les competències específiques de cada matèria.</w:t>
            </w:r>
            <w:r>
              <w:rPr>
                <w:rFonts w:ascii="Atkinson Hyperlegible" w:eastAsia="Atkinson Hyperlegible" w:hAnsi="Atkinson Hyperlegible" w:cs="Atkinson Hyperlegible"/>
                <w:i/>
                <w:iCs/>
                <w:color w:val="B7B7B7"/>
                <w:sz w:val="20"/>
                <w:szCs w:val="20"/>
              </w:rPr>
              <w:t xml:space="preserve"> Així, la qualificació d’una matèria depèn únicament dels resultats en aquesta (no s’han de tenir en compte els resultats de la resta).</w:t>
            </w:r>
          </w:p>
          <w:p w14:paraId="0F33CCF1" w14:textId="77777777" w:rsidR="00227BD5" w:rsidRDefault="00CD3130" w:rsidP="00CD3130">
            <w:pPr>
              <w:spacing w:line="288" w:lineRule="auto"/>
              <w:rPr>
                <w:rFonts w:ascii="Atkinson Hyperlegible" w:eastAsia="Atkinson Hyperlegible" w:hAnsi="Atkinson Hyperlegible" w:cs="Atkinson Hyperlegible"/>
                <w:i/>
                <w:iCs/>
                <w:color w:val="B7B7B7"/>
                <w:sz w:val="20"/>
                <w:szCs w:val="20"/>
              </w:rPr>
            </w:pPr>
            <w:r w:rsidRPr="00CD3130">
              <w:rPr>
                <w:rFonts w:ascii="Atkinson Hyperlegible" w:eastAsia="Atkinson Hyperlegible" w:hAnsi="Atkinson Hyperlegible" w:cs="Atkinson Hyperlegible"/>
                <w:i/>
                <w:iCs/>
                <w:color w:val="B7B7B7"/>
                <w:sz w:val="20"/>
                <w:szCs w:val="20"/>
              </w:rPr>
              <w:lastRenderedPageBreak/>
              <w:t>Detalla com es desenvoluparà al llarg del curs: identifi</w:t>
            </w:r>
            <w:r w:rsidR="00031A20">
              <w:rPr>
                <w:rFonts w:ascii="Atkinson Hyperlegible" w:eastAsia="Atkinson Hyperlegible" w:hAnsi="Atkinson Hyperlegible" w:cs="Atkinson Hyperlegible"/>
                <w:i/>
                <w:iCs/>
                <w:color w:val="B7B7B7"/>
                <w:sz w:val="20"/>
                <w:szCs w:val="20"/>
              </w:rPr>
              <w:t>queu</w:t>
            </w:r>
            <w:r w:rsidRPr="00CD3130">
              <w:rPr>
                <w:rFonts w:ascii="Atkinson Hyperlegible" w:eastAsia="Atkinson Hyperlegible" w:hAnsi="Atkinson Hyperlegible" w:cs="Atkinson Hyperlegible"/>
                <w:i/>
                <w:iCs/>
                <w:color w:val="B7B7B7"/>
                <w:sz w:val="20"/>
                <w:szCs w:val="20"/>
              </w:rPr>
              <w:t xml:space="preserve"> els moments d’avaluació i les finalitats que persegueixes (conèixer el progrés dels alumnes, adaptar la teva metodologia, detectar necessitats de suport, millorar la pràctica docent…).  </w:t>
            </w:r>
            <w:r w:rsidRPr="00CD3130">
              <w:rPr>
                <w:rFonts w:ascii="Atkinson Hyperlegible" w:eastAsia="Atkinson Hyperlegible" w:hAnsi="Atkinson Hyperlegible" w:cs="Atkinson Hyperlegible"/>
                <w:i/>
                <w:iCs/>
                <w:color w:val="B7B7B7"/>
                <w:sz w:val="20"/>
                <w:szCs w:val="20"/>
              </w:rPr>
              <w:br/>
              <w:t>Indi</w:t>
            </w:r>
            <w:r w:rsidR="00031A20">
              <w:rPr>
                <w:rFonts w:ascii="Atkinson Hyperlegible" w:eastAsia="Atkinson Hyperlegible" w:hAnsi="Atkinson Hyperlegible" w:cs="Atkinson Hyperlegible"/>
                <w:i/>
                <w:iCs/>
                <w:color w:val="B7B7B7"/>
                <w:sz w:val="20"/>
                <w:szCs w:val="20"/>
              </w:rPr>
              <w:t>queu</w:t>
            </w:r>
            <w:r w:rsidRPr="00CD3130">
              <w:rPr>
                <w:rFonts w:ascii="Atkinson Hyperlegible" w:eastAsia="Atkinson Hyperlegible" w:hAnsi="Atkinson Hyperlegible" w:cs="Atkinson Hyperlegible"/>
                <w:i/>
                <w:iCs/>
                <w:color w:val="B7B7B7"/>
                <w:sz w:val="20"/>
                <w:szCs w:val="20"/>
              </w:rPr>
              <w:t xml:space="preserve"> clarament els instruments que far</w:t>
            </w:r>
            <w:r w:rsidR="00031A20">
              <w:rPr>
                <w:rFonts w:ascii="Atkinson Hyperlegible" w:eastAsia="Atkinson Hyperlegible" w:hAnsi="Atkinson Hyperlegible" w:cs="Atkinson Hyperlegible"/>
                <w:i/>
                <w:iCs/>
                <w:color w:val="B7B7B7"/>
                <w:sz w:val="20"/>
                <w:szCs w:val="20"/>
              </w:rPr>
              <w:t>eu</w:t>
            </w:r>
            <w:r w:rsidRPr="00CD3130">
              <w:rPr>
                <w:rFonts w:ascii="Atkinson Hyperlegible" w:eastAsia="Atkinson Hyperlegible" w:hAnsi="Atkinson Hyperlegible" w:cs="Atkinson Hyperlegible"/>
                <w:i/>
                <w:iCs/>
                <w:color w:val="B7B7B7"/>
                <w:sz w:val="20"/>
                <w:szCs w:val="20"/>
              </w:rPr>
              <w:t xml:space="preserve"> servir per recollir evidències: proves escrites, quadern de l’alumne, rúbriques, llistes de control, portafolis, observació directa, enquestes de valoració… </w:t>
            </w:r>
          </w:p>
          <w:p w14:paraId="3F357589" w14:textId="4F408808" w:rsidR="006B01DF" w:rsidRPr="00EE24A2" w:rsidRDefault="006B01DF" w:rsidP="00CD3130">
            <w:pPr>
              <w:spacing w:line="288" w:lineRule="auto"/>
              <w:rPr>
                <w:rFonts w:ascii="Atkinson Hyperlegible" w:eastAsia="Atkinson Hyperlegible" w:hAnsi="Atkinson Hyperlegible" w:cs="Atkinson Hyperlegible"/>
                <w:i/>
                <w:iCs/>
                <w:color w:val="B7B7B7"/>
                <w:sz w:val="20"/>
                <w:szCs w:val="20"/>
              </w:rPr>
            </w:pPr>
            <w:r>
              <w:rPr>
                <w:rFonts w:ascii="Atkinson Hyperlegible" w:eastAsia="Atkinson Hyperlegible" w:hAnsi="Atkinson Hyperlegible" w:cs="Atkinson Hyperlegible"/>
                <w:i/>
                <w:iCs/>
                <w:color w:val="B7B7B7"/>
                <w:sz w:val="20"/>
                <w:szCs w:val="20"/>
              </w:rPr>
              <w:t>Es recomana incloure les actuacions què es duran a terme en cas d’indicis o sospites de còpia per part dels alumnes (posterior avaluació oral, ús d’aplicacions detectores de plagi...).</w:t>
            </w:r>
          </w:p>
        </w:tc>
      </w:tr>
      <w:tr w:rsidR="007E3A3C" w:rsidRPr="00EE24A2" w14:paraId="6D0C845B" w14:textId="77777777" w:rsidTr="23541EFB">
        <w:trPr>
          <w:trHeight w:val="420"/>
          <w:jc w:val="center"/>
        </w:trPr>
        <w:tc>
          <w:tcPr>
            <w:tcW w:w="3090" w:type="dxa"/>
            <w:shd w:val="clear" w:color="auto" w:fill="D9D9D9" w:themeFill="background1" w:themeFillShade="D9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14FD216" w14:textId="0FB858B2" w:rsidR="007E3A3C" w:rsidRPr="00EE24A2" w:rsidRDefault="00D820DF" w:rsidP="23541EFB">
            <w:pPr>
              <w:widowControl w:val="0"/>
              <w:spacing w:line="360" w:lineRule="auto"/>
              <w:jc w:val="left"/>
              <w:rPr>
                <w:rFonts w:ascii="Atkinson Hyperlegible" w:eastAsia="Atkinson Hyperlegible" w:hAnsi="Atkinson Hyperlegible" w:cs="Atkinson Hyperlegible"/>
                <w:b/>
                <w:bCs/>
                <w:sz w:val="22"/>
                <w:szCs w:val="22"/>
              </w:rPr>
            </w:pPr>
            <w:r w:rsidRPr="00EE24A2">
              <w:rPr>
                <w:rFonts w:ascii="Atkinson Hyperlegible" w:eastAsia="Atkinson Hyperlegible" w:hAnsi="Atkinson Hyperlegible" w:cs="Atkinson Hyperlegible"/>
                <w:b/>
                <w:bCs/>
                <w:sz w:val="22"/>
                <w:szCs w:val="22"/>
              </w:rPr>
              <w:lastRenderedPageBreak/>
              <w:t>Sistema de qualificació</w:t>
            </w:r>
          </w:p>
        </w:tc>
        <w:tc>
          <w:tcPr>
            <w:tcW w:w="10905" w:type="dxa"/>
            <w:gridSpan w:val="3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8ABB889" w14:textId="57546E74" w:rsidR="00CD3130" w:rsidRDefault="00CD3130" w:rsidP="23541EFB">
            <w:pPr>
              <w:spacing w:line="288" w:lineRule="auto"/>
              <w:rPr>
                <w:rFonts w:ascii="Atkinson Hyperlegible" w:eastAsia="Atkinson Hyperlegible" w:hAnsi="Atkinson Hyperlegible" w:cs="Atkinson Hyperlegible"/>
                <w:i/>
                <w:iCs/>
                <w:color w:val="B7B7B7"/>
                <w:sz w:val="20"/>
                <w:szCs w:val="20"/>
              </w:rPr>
            </w:pPr>
            <w:r w:rsidRPr="00EE24A2">
              <w:rPr>
                <w:rFonts w:ascii="Atkinson Hyperlegible" w:eastAsia="Atkinson Hyperlegible" w:hAnsi="Atkinson Hyperlegible" w:cs="Atkinson Hyperlegible"/>
                <w:i/>
                <w:iCs/>
                <w:color w:val="B7B7B7"/>
                <w:sz w:val="20"/>
                <w:szCs w:val="20"/>
              </w:rPr>
              <w:t>Especifi</w:t>
            </w:r>
            <w:r w:rsidR="00031A20">
              <w:rPr>
                <w:rFonts w:ascii="Atkinson Hyperlegible" w:eastAsia="Atkinson Hyperlegible" w:hAnsi="Atkinson Hyperlegible" w:cs="Atkinson Hyperlegible"/>
                <w:i/>
                <w:iCs/>
                <w:color w:val="B7B7B7"/>
                <w:sz w:val="20"/>
                <w:szCs w:val="20"/>
              </w:rPr>
              <w:t>queu</w:t>
            </w:r>
            <w:r w:rsidRPr="00EE24A2">
              <w:rPr>
                <w:rFonts w:ascii="Atkinson Hyperlegible" w:eastAsia="Atkinson Hyperlegible" w:hAnsi="Atkinson Hyperlegible" w:cs="Atkinson Hyperlegible"/>
                <w:i/>
                <w:iCs/>
                <w:color w:val="B7B7B7"/>
                <w:sz w:val="20"/>
                <w:szCs w:val="20"/>
              </w:rPr>
              <w:t xml:space="preserve"> el sistema de qualificació de la matèria</w:t>
            </w:r>
            <w:r w:rsidR="00171189">
              <w:rPr>
                <w:rFonts w:ascii="Atkinson Hyperlegible" w:eastAsia="Atkinson Hyperlegible" w:hAnsi="Atkinson Hyperlegible" w:cs="Atkinson Hyperlegible"/>
                <w:i/>
                <w:iCs/>
                <w:color w:val="B7B7B7"/>
                <w:sz w:val="20"/>
                <w:szCs w:val="20"/>
              </w:rPr>
              <w:t xml:space="preserve"> </w:t>
            </w:r>
            <w:r w:rsidR="00171189" w:rsidRPr="00171189">
              <w:rPr>
                <w:rFonts w:ascii="Atkinson Hyperlegible" w:eastAsia="Atkinson Hyperlegible" w:hAnsi="Atkinson Hyperlegible" w:cs="Atkinson Hyperlegible"/>
                <w:i/>
                <w:iCs/>
                <w:color w:val="B7B7B7"/>
                <w:sz w:val="20"/>
                <w:szCs w:val="20"/>
              </w:rPr>
              <w:t>a partir de les evidències recollides en el procés d’ensenyament-aprenentatge</w:t>
            </w:r>
            <w:r w:rsidR="0070278E">
              <w:rPr>
                <w:rFonts w:ascii="Atkinson Hyperlegible" w:eastAsia="Atkinson Hyperlegible" w:hAnsi="Atkinson Hyperlegible" w:cs="Atkinson Hyperlegible"/>
                <w:i/>
                <w:iCs/>
                <w:color w:val="B7B7B7"/>
                <w:sz w:val="20"/>
                <w:szCs w:val="20"/>
              </w:rPr>
              <w:t>.</w:t>
            </w:r>
            <w:r w:rsidR="00D61526">
              <w:rPr>
                <w:rFonts w:ascii="Atkinson Hyperlegible" w:eastAsia="Atkinson Hyperlegible" w:hAnsi="Atkinson Hyperlegible" w:cs="Atkinson Hyperlegible"/>
                <w:i/>
                <w:iCs/>
                <w:color w:val="B7B7B7"/>
                <w:sz w:val="20"/>
                <w:szCs w:val="20"/>
              </w:rPr>
              <w:t xml:space="preserve"> El sistema establert ha de facilitar la traçabilitat.</w:t>
            </w:r>
          </w:p>
          <w:p w14:paraId="0B8F9D78" w14:textId="77777777" w:rsidR="00075EAC" w:rsidRDefault="00075EAC" w:rsidP="00075EAC">
            <w:pPr>
              <w:spacing w:line="288" w:lineRule="auto"/>
              <w:rPr>
                <w:rFonts w:ascii="Atkinson Hyperlegible" w:eastAsia="Atkinson Hyperlegible" w:hAnsi="Atkinson Hyperlegible" w:cs="Atkinson Hyperlegible"/>
                <w:i/>
                <w:iCs/>
                <w:color w:val="B7B7B7"/>
                <w:sz w:val="20"/>
                <w:szCs w:val="20"/>
              </w:rPr>
            </w:pPr>
            <w:r>
              <w:rPr>
                <w:rFonts w:ascii="Atkinson Hyperlegible" w:eastAsia="Atkinson Hyperlegible" w:hAnsi="Atkinson Hyperlegible" w:cs="Atkinson Hyperlegible"/>
                <w:i/>
                <w:iCs/>
                <w:color w:val="B7B7B7"/>
                <w:sz w:val="20"/>
                <w:szCs w:val="20"/>
              </w:rPr>
              <w:t>Aclariment:</w:t>
            </w:r>
          </w:p>
          <w:p w14:paraId="5C92ECB4" w14:textId="1F98C389" w:rsidR="00075EAC" w:rsidRPr="00075EAC" w:rsidRDefault="00075EAC" w:rsidP="00075EAC">
            <w:pPr>
              <w:pStyle w:val="Prrafodelista"/>
              <w:numPr>
                <w:ilvl w:val="0"/>
                <w:numId w:val="3"/>
              </w:numPr>
              <w:spacing w:line="288" w:lineRule="auto"/>
              <w:rPr>
                <w:rFonts w:ascii="Atkinson Hyperlegible" w:eastAsia="Atkinson Hyperlegible" w:hAnsi="Atkinson Hyperlegible" w:cs="Atkinson Hyperlegible"/>
                <w:i/>
                <w:iCs/>
                <w:color w:val="B7B7B7"/>
                <w:sz w:val="20"/>
                <w:szCs w:val="20"/>
              </w:rPr>
            </w:pPr>
            <w:r w:rsidRPr="00075EAC">
              <w:rPr>
                <w:rFonts w:ascii="Atkinson Hyperlegible" w:eastAsia="Atkinson Hyperlegible" w:hAnsi="Atkinson Hyperlegible" w:cs="Atkinson Hyperlegible"/>
                <w:i/>
                <w:iCs/>
                <w:color w:val="B7B7B7"/>
                <w:sz w:val="20"/>
                <w:szCs w:val="20"/>
              </w:rPr>
              <w:t xml:space="preserve">Atès que per normativa estatal l’avaluació és </w:t>
            </w:r>
            <w:r w:rsidRPr="00075EAC">
              <w:rPr>
                <w:rFonts w:ascii="Atkinson Hyperlegible" w:eastAsia="Atkinson Hyperlegible" w:hAnsi="Atkinson Hyperlegible" w:cs="Atkinson Hyperlegible"/>
                <w:b/>
                <w:bCs/>
                <w:i/>
                <w:iCs/>
                <w:color w:val="B7B7B7"/>
                <w:sz w:val="20"/>
                <w:szCs w:val="20"/>
              </w:rPr>
              <w:t>contínua</w:t>
            </w:r>
            <w:r w:rsidRPr="00075EAC">
              <w:rPr>
                <w:rFonts w:ascii="Atkinson Hyperlegible" w:eastAsia="Atkinson Hyperlegible" w:hAnsi="Atkinson Hyperlegible" w:cs="Atkinson Hyperlegible"/>
                <w:i/>
                <w:iCs/>
                <w:color w:val="B7B7B7"/>
                <w:sz w:val="20"/>
                <w:szCs w:val="20"/>
              </w:rPr>
              <w:t>,, en l’obtenció de la qualificació final de la matèria s’han de tenir en compte les evidències d’aprenentatge recollides durant tot el curs, no únicament les de la darrera avaluació.</w:t>
            </w:r>
          </w:p>
          <w:p w14:paraId="411BEEBD" w14:textId="0F0ED02E" w:rsidR="00075EAC" w:rsidRDefault="00075EAC" w:rsidP="23541EFB">
            <w:pPr>
              <w:spacing w:line="288" w:lineRule="auto"/>
              <w:rPr>
                <w:rFonts w:ascii="Atkinson Hyperlegible" w:eastAsia="Atkinson Hyperlegible" w:hAnsi="Atkinson Hyperlegible" w:cs="Atkinson Hyperlegible"/>
                <w:i/>
                <w:iCs/>
                <w:color w:val="B7B7B7"/>
                <w:sz w:val="20"/>
                <w:szCs w:val="20"/>
              </w:rPr>
            </w:pPr>
            <w:r>
              <w:rPr>
                <w:rFonts w:ascii="Atkinson Hyperlegible" w:eastAsia="Atkinson Hyperlegible" w:hAnsi="Atkinson Hyperlegible" w:cs="Atkinson Hyperlegible"/>
                <w:i/>
                <w:iCs/>
                <w:color w:val="B7B7B7"/>
                <w:sz w:val="20"/>
                <w:szCs w:val="20"/>
              </w:rPr>
              <w:t xml:space="preserve">Cal </w:t>
            </w:r>
            <w:r w:rsidR="00510B1F">
              <w:rPr>
                <w:rFonts w:ascii="Atkinson Hyperlegible" w:eastAsia="Atkinson Hyperlegible" w:hAnsi="Atkinson Hyperlegible" w:cs="Atkinson Hyperlegible"/>
                <w:i/>
                <w:iCs/>
                <w:color w:val="B7B7B7"/>
                <w:sz w:val="20"/>
                <w:szCs w:val="20"/>
              </w:rPr>
              <w:t xml:space="preserve">especificar tant </w:t>
            </w:r>
            <w:r>
              <w:rPr>
                <w:rFonts w:ascii="Atkinson Hyperlegible" w:eastAsia="Atkinson Hyperlegible" w:hAnsi="Atkinson Hyperlegible" w:cs="Atkinson Hyperlegible"/>
                <w:i/>
                <w:iCs/>
                <w:color w:val="B7B7B7"/>
                <w:sz w:val="20"/>
                <w:szCs w:val="20"/>
              </w:rPr>
              <w:t xml:space="preserve">el sistema de qualificació per a l’obtenció de la qualificació de la convocatòria ordinària </w:t>
            </w:r>
            <w:r w:rsidR="00510B1F">
              <w:rPr>
                <w:rFonts w:ascii="Atkinson Hyperlegible" w:eastAsia="Atkinson Hyperlegible" w:hAnsi="Atkinson Hyperlegible" w:cs="Atkinson Hyperlegible"/>
                <w:i/>
                <w:iCs/>
                <w:color w:val="B7B7B7"/>
                <w:sz w:val="20"/>
                <w:szCs w:val="20"/>
              </w:rPr>
              <w:t xml:space="preserve">com </w:t>
            </w:r>
            <w:r>
              <w:rPr>
                <w:rFonts w:ascii="Atkinson Hyperlegible" w:eastAsia="Atkinson Hyperlegible" w:hAnsi="Atkinson Hyperlegible" w:cs="Atkinson Hyperlegible"/>
                <w:i/>
                <w:iCs/>
                <w:color w:val="B7B7B7"/>
                <w:sz w:val="20"/>
                <w:szCs w:val="20"/>
              </w:rPr>
              <w:t>de la convocatòria extraordinària.</w:t>
            </w:r>
          </w:p>
          <w:p w14:paraId="1E3B893C" w14:textId="2FD99D94" w:rsidR="0070278E" w:rsidRPr="00075EAC" w:rsidRDefault="00075EAC" w:rsidP="00075EAC">
            <w:pPr>
              <w:spacing w:line="288" w:lineRule="auto"/>
              <w:rPr>
                <w:rFonts w:ascii="Atkinson Hyperlegible" w:eastAsia="Atkinson Hyperlegible" w:hAnsi="Atkinson Hyperlegible" w:cs="Atkinson Hyperlegible"/>
                <w:color w:val="B7B7B7"/>
                <w:sz w:val="20"/>
                <w:szCs w:val="20"/>
              </w:rPr>
            </w:pPr>
            <w:r>
              <w:rPr>
                <w:rFonts w:ascii="Atkinson Hyperlegible" w:eastAsia="Atkinson Hyperlegible" w:hAnsi="Atkinson Hyperlegible" w:cs="Atkinson Hyperlegible"/>
                <w:color w:val="B7B7B7"/>
                <w:sz w:val="20"/>
                <w:szCs w:val="20"/>
              </w:rPr>
              <w:t>Es recomana, així mateix, establir els criteris d’arrodoniment</w:t>
            </w:r>
            <w:r w:rsidR="006B01DF">
              <w:rPr>
                <w:rFonts w:ascii="Atkinson Hyperlegible" w:eastAsia="Atkinson Hyperlegible" w:hAnsi="Atkinson Hyperlegible" w:cs="Atkinson Hyperlegible"/>
                <w:color w:val="B7B7B7"/>
                <w:sz w:val="20"/>
                <w:szCs w:val="20"/>
              </w:rPr>
              <w:t xml:space="preserve"> per a l’obtenció de la qualificació entera.</w:t>
            </w:r>
          </w:p>
        </w:tc>
      </w:tr>
      <w:tr w:rsidR="007E3A3C" w:rsidRPr="00EE24A2" w14:paraId="0F15D1A4" w14:textId="77777777" w:rsidTr="23541EFB">
        <w:trPr>
          <w:trHeight w:val="420"/>
          <w:jc w:val="center"/>
        </w:trPr>
        <w:tc>
          <w:tcPr>
            <w:tcW w:w="3090" w:type="dxa"/>
            <w:shd w:val="clear" w:color="auto" w:fill="D9D9D9" w:themeFill="background1" w:themeFillShade="D9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B5138D4" w14:textId="5479209F" w:rsidR="007E3A3C" w:rsidRPr="00EE24A2" w:rsidRDefault="00D820DF" w:rsidP="23541EFB">
            <w:pPr>
              <w:widowControl w:val="0"/>
              <w:spacing w:line="360" w:lineRule="auto"/>
              <w:jc w:val="left"/>
              <w:rPr>
                <w:rFonts w:ascii="Atkinson Hyperlegible" w:eastAsia="Atkinson Hyperlegible" w:hAnsi="Atkinson Hyperlegible" w:cs="Atkinson Hyperlegible"/>
                <w:b/>
                <w:bCs/>
                <w:sz w:val="22"/>
                <w:szCs w:val="22"/>
              </w:rPr>
            </w:pPr>
            <w:r w:rsidRPr="00EE24A2">
              <w:rPr>
                <w:rFonts w:ascii="Atkinson Hyperlegible" w:eastAsia="Atkinson Hyperlegible" w:hAnsi="Atkinson Hyperlegible" w:cs="Atkinson Hyperlegible"/>
                <w:b/>
                <w:bCs/>
                <w:sz w:val="22"/>
                <w:szCs w:val="22"/>
              </w:rPr>
              <w:t>Estratègies didàctiques i metodològiques</w:t>
            </w:r>
          </w:p>
        </w:tc>
        <w:tc>
          <w:tcPr>
            <w:tcW w:w="10905" w:type="dxa"/>
            <w:gridSpan w:val="3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55E8407" w14:textId="679B2019" w:rsidR="00EE24A2" w:rsidRPr="00EE24A2" w:rsidRDefault="0070278E" w:rsidP="00EE24A2">
            <w:pPr>
              <w:spacing w:line="288" w:lineRule="auto"/>
              <w:rPr>
                <w:rFonts w:ascii="Atkinson Hyperlegible" w:eastAsia="Atkinson Hyperlegible" w:hAnsi="Atkinson Hyperlegible" w:cs="Atkinson Hyperlegible"/>
                <w:i/>
                <w:iCs/>
                <w:color w:val="B7B7B7"/>
                <w:sz w:val="20"/>
                <w:szCs w:val="20"/>
              </w:rPr>
            </w:pPr>
            <w:r>
              <w:rPr>
                <w:rFonts w:ascii="Atkinson Hyperlegible" w:eastAsia="Atkinson Hyperlegible" w:hAnsi="Atkinson Hyperlegible" w:cs="Atkinson Hyperlegible"/>
                <w:i/>
                <w:iCs/>
                <w:color w:val="B7B7B7"/>
                <w:sz w:val="20"/>
                <w:szCs w:val="20"/>
              </w:rPr>
              <w:t>Cal</w:t>
            </w:r>
            <w:r w:rsidR="00EE24A2" w:rsidRPr="00EE24A2">
              <w:rPr>
                <w:rFonts w:ascii="Atkinson Hyperlegible" w:eastAsia="Atkinson Hyperlegible" w:hAnsi="Atkinson Hyperlegible" w:cs="Atkinson Hyperlegible"/>
                <w:i/>
                <w:iCs/>
                <w:color w:val="B7B7B7"/>
                <w:sz w:val="20"/>
                <w:szCs w:val="20"/>
              </w:rPr>
              <w:t xml:space="preserve"> de descriure les metodologies que guiaran la </w:t>
            </w:r>
            <w:r w:rsidR="00031A20">
              <w:rPr>
                <w:rFonts w:ascii="Atkinson Hyperlegible" w:eastAsia="Atkinson Hyperlegible" w:hAnsi="Atkinson Hyperlegible" w:cs="Atkinson Hyperlegible"/>
                <w:i/>
                <w:iCs/>
                <w:color w:val="B7B7B7"/>
                <w:sz w:val="20"/>
                <w:szCs w:val="20"/>
              </w:rPr>
              <w:t>vostra</w:t>
            </w:r>
            <w:r w:rsidR="00EE24A2" w:rsidRPr="00EE24A2">
              <w:rPr>
                <w:rFonts w:ascii="Atkinson Hyperlegible" w:eastAsia="Atkinson Hyperlegible" w:hAnsi="Atkinson Hyperlegible" w:cs="Atkinson Hyperlegible"/>
                <w:i/>
                <w:iCs/>
                <w:color w:val="B7B7B7"/>
                <w:sz w:val="20"/>
                <w:szCs w:val="20"/>
              </w:rPr>
              <w:t xml:space="preserve"> pràctica docent: organització, agrupaments i criteris per a l’elaboració de situacions i activitats que es considerin necessàries.  </w:t>
            </w:r>
          </w:p>
          <w:p w14:paraId="55FE126D" w14:textId="415B4CB1" w:rsidR="00F233A8" w:rsidRPr="00EE24A2" w:rsidRDefault="00031A20" w:rsidP="23541EFB">
            <w:pPr>
              <w:spacing w:line="288" w:lineRule="auto"/>
              <w:rPr>
                <w:rFonts w:ascii="Atkinson Hyperlegible" w:eastAsia="Atkinson Hyperlegible" w:hAnsi="Atkinson Hyperlegible" w:cs="Atkinson Hyperlegible"/>
                <w:i/>
                <w:iCs/>
                <w:color w:val="B7B7B7"/>
                <w:sz w:val="20"/>
                <w:szCs w:val="20"/>
              </w:rPr>
            </w:pPr>
            <w:r>
              <w:rPr>
                <w:rFonts w:ascii="Atkinson Hyperlegible" w:eastAsia="Atkinson Hyperlegible" w:hAnsi="Atkinson Hyperlegible" w:cs="Atkinson Hyperlegible"/>
                <w:i/>
                <w:iCs/>
                <w:color w:val="B7B7B7"/>
                <w:sz w:val="20"/>
                <w:szCs w:val="20"/>
              </w:rPr>
              <w:t>Cal i</w:t>
            </w:r>
            <w:r w:rsidR="00EE24A2" w:rsidRPr="00EE24A2">
              <w:rPr>
                <w:rFonts w:ascii="Atkinson Hyperlegible" w:eastAsia="Atkinson Hyperlegible" w:hAnsi="Atkinson Hyperlegible" w:cs="Atkinson Hyperlegible"/>
                <w:i/>
                <w:iCs/>
                <w:color w:val="B7B7B7"/>
                <w:sz w:val="20"/>
                <w:szCs w:val="20"/>
              </w:rPr>
              <w:t>nclou</w:t>
            </w:r>
            <w:r>
              <w:rPr>
                <w:rFonts w:ascii="Atkinson Hyperlegible" w:eastAsia="Atkinson Hyperlegible" w:hAnsi="Atkinson Hyperlegible" w:cs="Atkinson Hyperlegible"/>
                <w:i/>
                <w:iCs/>
                <w:color w:val="B7B7B7"/>
                <w:sz w:val="20"/>
                <w:szCs w:val="20"/>
              </w:rPr>
              <w:t>re</w:t>
            </w:r>
            <w:r w:rsidR="00EE24A2" w:rsidRPr="00EE24A2">
              <w:rPr>
                <w:rFonts w:ascii="Atkinson Hyperlegible" w:eastAsia="Atkinson Hyperlegible" w:hAnsi="Atkinson Hyperlegible" w:cs="Atkinson Hyperlegible"/>
                <w:i/>
                <w:iCs/>
                <w:color w:val="B7B7B7"/>
                <w:sz w:val="20"/>
                <w:szCs w:val="20"/>
              </w:rPr>
              <w:t xml:space="preserve"> els recursos humans i materials que </w:t>
            </w:r>
            <w:r>
              <w:rPr>
                <w:rFonts w:ascii="Atkinson Hyperlegible" w:eastAsia="Atkinson Hyperlegible" w:hAnsi="Atkinson Hyperlegible" w:cs="Atkinson Hyperlegible"/>
                <w:i/>
                <w:iCs/>
                <w:color w:val="B7B7B7"/>
                <w:sz w:val="20"/>
                <w:szCs w:val="20"/>
              </w:rPr>
              <w:t>teniu previst</w:t>
            </w:r>
            <w:r w:rsidR="00EE24A2" w:rsidRPr="00EE24A2">
              <w:rPr>
                <w:rFonts w:ascii="Atkinson Hyperlegible" w:eastAsia="Atkinson Hyperlegible" w:hAnsi="Atkinson Hyperlegible" w:cs="Atkinson Hyperlegible"/>
                <w:i/>
                <w:iCs/>
                <w:color w:val="B7B7B7"/>
                <w:sz w:val="20"/>
                <w:szCs w:val="20"/>
              </w:rPr>
              <w:t xml:space="preserve"> utilitzar.  </w:t>
            </w:r>
          </w:p>
        </w:tc>
      </w:tr>
      <w:tr w:rsidR="007E3A3C" w:rsidRPr="00EE24A2" w14:paraId="26FD8C02" w14:textId="77777777" w:rsidTr="00936FA4">
        <w:trPr>
          <w:trHeight w:val="703"/>
          <w:jc w:val="center"/>
        </w:trPr>
        <w:tc>
          <w:tcPr>
            <w:tcW w:w="3090" w:type="dxa"/>
            <w:shd w:val="clear" w:color="auto" w:fill="D9D9D9" w:themeFill="background1" w:themeFillShade="D9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A88C335" w14:textId="67166DD4" w:rsidR="007E3A3C" w:rsidRPr="00EE24A2" w:rsidRDefault="00D820DF" w:rsidP="23541EFB">
            <w:pPr>
              <w:widowControl w:val="0"/>
              <w:spacing w:line="360" w:lineRule="auto"/>
              <w:jc w:val="left"/>
              <w:rPr>
                <w:rFonts w:ascii="Atkinson Hyperlegible" w:eastAsia="Atkinson Hyperlegible" w:hAnsi="Atkinson Hyperlegible" w:cs="Atkinson Hyperlegible"/>
                <w:b/>
                <w:bCs/>
                <w:sz w:val="22"/>
                <w:szCs w:val="22"/>
              </w:rPr>
            </w:pPr>
            <w:r w:rsidRPr="00EE24A2">
              <w:rPr>
                <w:rFonts w:ascii="Atkinson Hyperlegible" w:eastAsia="Atkinson Hyperlegible" w:hAnsi="Atkinson Hyperlegible" w:cs="Atkinson Hyperlegible"/>
                <w:b/>
                <w:bCs/>
                <w:sz w:val="22"/>
                <w:szCs w:val="22"/>
              </w:rPr>
              <w:t>Actuacions generals d’atenció a les necessitats individuals</w:t>
            </w:r>
          </w:p>
        </w:tc>
        <w:tc>
          <w:tcPr>
            <w:tcW w:w="10905" w:type="dxa"/>
            <w:gridSpan w:val="3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D54904F" w14:textId="742760A7" w:rsidR="00EE24A2" w:rsidRPr="00EE24A2" w:rsidRDefault="00C64358" w:rsidP="00EE24A2">
            <w:pPr>
              <w:spacing w:line="288" w:lineRule="auto"/>
              <w:rPr>
                <w:rFonts w:ascii="Atkinson Hyperlegible" w:eastAsia="Atkinson Hyperlegible" w:hAnsi="Atkinson Hyperlegible" w:cs="Atkinson Hyperlegible"/>
                <w:i/>
                <w:iCs/>
                <w:color w:val="B7B7B7"/>
                <w:sz w:val="20"/>
                <w:szCs w:val="20"/>
              </w:rPr>
            </w:pPr>
            <w:r>
              <w:rPr>
                <w:rFonts w:ascii="Atkinson Hyperlegible" w:eastAsia="Atkinson Hyperlegible" w:hAnsi="Atkinson Hyperlegible" w:cs="Atkinson Hyperlegible"/>
                <w:i/>
                <w:iCs/>
                <w:color w:val="B7B7B7"/>
                <w:sz w:val="20"/>
                <w:szCs w:val="20"/>
              </w:rPr>
              <w:t>Cal</w:t>
            </w:r>
            <w:r w:rsidR="00EE24A2" w:rsidRPr="00EE24A2">
              <w:rPr>
                <w:rFonts w:ascii="Atkinson Hyperlegible" w:eastAsia="Atkinson Hyperlegible" w:hAnsi="Atkinson Hyperlegible" w:cs="Atkinson Hyperlegible"/>
                <w:i/>
                <w:iCs/>
                <w:color w:val="B7B7B7"/>
                <w:sz w:val="20"/>
                <w:szCs w:val="20"/>
              </w:rPr>
              <w:t xml:space="preserve"> concretar les mesures que aplicar</w:t>
            </w:r>
            <w:r w:rsidR="00031A20">
              <w:rPr>
                <w:rFonts w:ascii="Atkinson Hyperlegible" w:eastAsia="Atkinson Hyperlegible" w:hAnsi="Atkinson Hyperlegible" w:cs="Atkinson Hyperlegible"/>
                <w:i/>
                <w:iCs/>
                <w:color w:val="B7B7B7"/>
                <w:sz w:val="20"/>
                <w:szCs w:val="20"/>
              </w:rPr>
              <w:t>eu</w:t>
            </w:r>
            <w:r w:rsidR="00EE24A2" w:rsidRPr="00EE24A2">
              <w:rPr>
                <w:rFonts w:ascii="Atkinson Hyperlegible" w:eastAsia="Atkinson Hyperlegible" w:hAnsi="Atkinson Hyperlegible" w:cs="Atkinson Hyperlegible"/>
                <w:i/>
                <w:iCs/>
                <w:color w:val="B7B7B7"/>
                <w:sz w:val="20"/>
                <w:szCs w:val="20"/>
              </w:rPr>
              <w:t xml:space="preserve"> per atendre les necessitats específiques de suport educatiu dels </w:t>
            </w:r>
            <w:r w:rsidR="00031A20">
              <w:rPr>
                <w:rFonts w:ascii="Atkinson Hyperlegible" w:eastAsia="Atkinson Hyperlegible" w:hAnsi="Atkinson Hyperlegible" w:cs="Atkinson Hyperlegible"/>
                <w:i/>
                <w:iCs/>
                <w:color w:val="B7B7B7"/>
                <w:sz w:val="20"/>
                <w:szCs w:val="20"/>
              </w:rPr>
              <w:t>vostres</w:t>
            </w:r>
            <w:r w:rsidR="00EE24A2" w:rsidRPr="00EE24A2">
              <w:rPr>
                <w:rFonts w:ascii="Atkinson Hyperlegible" w:eastAsia="Atkinson Hyperlegible" w:hAnsi="Atkinson Hyperlegible" w:cs="Atkinson Hyperlegible"/>
                <w:i/>
                <w:iCs/>
                <w:color w:val="B7B7B7"/>
                <w:sz w:val="20"/>
                <w:szCs w:val="20"/>
              </w:rPr>
              <w:t xml:space="preserve"> alumnes. </w:t>
            </w:r>
          </w:p>
          <w:p w14:paraId="1BB5C2C4" w14:textId="475F0AC7" w:rsidR="007E3A3C" w:rsidRPr="00EE24A2" w:rsidRDefault="00EE24A2" w:rsidP="00EE24A2">
            <w:pPr>
              <w:spacing w:line="288" w:lineRule="auto"/>
              <w:rPr>
                <w:rFonts w:ascii="Atkinson Hyperlegible" w:eastAsia="Atkinson Hyperlegible" w:hAnsi="Atkinson Hyperlegible" w:cs="Atkinson Hyperlegible"/>
                <w:i/>
                <w:iCs/>
                <w:color w:val="B7B7B7"/>
                <w:sz w:val="20"/>
                <w:szCs w:val="20"/>
              </w:rPr>
            </w:pPr>
            <w:r w:rsidRPr="00EE24A2">
              <w:rPr>
                <w:rFonts w:ascii="Atkinson Hyperlegible" w:eastAsia="Atkinson Hyperlegible" w:hAnsi="Atkinson Hyperlegible" w:cs="Atkinson Hyperlegible"/>
                <w:i/>
                <w:iCs/>
                <w:color w:val="B7B7B7"/>
                <w:sz w:val="20"/>
                <w:szCs w:val="20"/>
              </w:rPr>
              <w:t>Record</w:t>
            </w:r>
            <w:r w:rsidR="00031A20">
              <w:rPr>
                <w:rFonts w:ascii="Atkinson Hyperlegible" w:eastAsia="Atkinson Hyperlegible" w:hAnsi="Atkinson Hyperlegible" w:cs="Atkinson Hyperlegible"/>
                <w:i/>
                <w:iCs/>
                <w:color w:val="B7B7B7"/>
                <w:sz w:val="20"/>
                <w:szCs w:val="20"/>
              </w:rPr>
              <w:t>eu</w:t>
            </w:r>
            <w:r w:rsidRPr="00EE24A2">
              <w:rPr>
                <w:rFonts w:ascii="Atkinson Hyperlegible" w:eastAsia="Atkinson Hyperlegible" w:hAnsi="Atkinson Hyperlegible" w:cs="Atkinson Hyperlegible"/>
                <w:i/>
                <w:iCs/>
                <w:color w:val="B7B7B7"/>
                <w:sz w:val="20"/>
                <w:szCs w:val="20"/>
              </w:rPr>
              <w:t xml:space="preserve"> que en l’etapa del batxillerat tan sols es preveuen adaptacions d’accés, de manera que no es pot eliminar o suprimir cap part del currículum, en tractar-se d’un ensenyament post-obligatori. </w:t>
            </w:r>
          </w:p>
        </w:tc>
      </w:tr>
      <w:tr w:rsidR="00D72752" w:rsidRPr="00EE24A2" w14:paraId="1CB855CC" w14:textId="77777777" w:rsidTr="23541EFB">
        <w:trPr>
          <w:trHeight w:val="420"/>
          <w:jc w:val="center"/>
        </w:trPr>
        <w:tc>
          <w:tcPr>
            <w:tcW w:w="3090" w:type="dxa"/>
            <w:shd w:val="clear" w:color="auto" w:fill="D9D9D9" w:themeFill="background1" w:themeFillShade="D9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C07DDBD" w14:textId="253DD470" w:rsidR="00D72752" w:rsidRPr="00EE24A2" w:rsidRDefault="00D820DF" w:rsidP="23541EFB">
            <w:pPr>
              <w:widowControl w:val="0"/>
              <w:spacing w:line="360" w:lineRule="auto"/>
              <w:jc w:val="left"/>
              <w:rPr>
                <w:rFonts w:ascii="Atkinson Hyperlegible" w:eastAsia="Atkinson Hyperlegible" w:hAnsi="Atkinson Hyperlegible" w:cs="Atkinson Hyperlegible"/>
                <w:b/>
                <w:bCs/>
                <w:sz w:val="22"/>
                <w:szCs w:val="22"/>
              </w:rPr>
            </w:pPr>
            <w:r w:rsidRPr="00EE24A2">
              <w:rPr>
                <w:rFonts w:ascii="Atkinson Hyperlegible" w:eastAsia="Atkinson Hyperlegible" w:hAnsi="Atkinson Hyperlegible" w:cs="Atkinson Hyperlegible"/>
                <w:b/>
                <w:bCs/>
                <w:sz w:val="22"/>
                <w:szCs w:val="22"/>
              </w:rPr>
              <w:t xml:space="preserve">Concreció dels elements transversals establerts en </w:t>
            </w:r>
            <w:r w:rsidRPr="00EE24A2">
              <w:rPr>
                <w:rFonts w:ascii="Atkinson Hyperlegible" w:eastAsia="Atkinson Hyperlegible" w:hAnsi="Atkinson Hyperlegible" w:cs="Atkinson Hyperlegible"/>
                <w:b/>
                <w:bCs/>
                <w:sz w:val="22"/>
                <w:szCs w:val="22"/>
              </w:rPr>
              <w:lastRenderedPageBreak/>
              <w:t>el projecte educatiu</w:t>
            </w:r>
          </w:p>
        </w:tc>
        <w:tc>
          <w:tcPr>
            <w:tcW w:w="10905" w:type="dxa"/>
            <w:gridSpan w:val="3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4D28EAE" w14:textId="19FF41FF" w:rsidR="00D72752" w:rsidRPr="00EE24A2" w:rsidRDefault="005237E4" w:rsidP="23541EFB">
            <w:pPr>
              <w:spacing w:line="288" w:lineRule="auto"/>
              <w:rPr>
                <w:rFonts w:ascii="Atkinson Hyperlegible" w:eastAsia="Atkinson Hyperlegible" w:hAnsi="Atkinson Hyperlegible" w:cs="Atkinson Hyperlegible"/>
                <w:i/>
                <w:iCs/>
                <w:color w:val="B7B7B7"/>
                <w:sz w:val="20"/>
                <w:szCs w:val="20"/>
              </w:rPr>
            </w:pPr>
            <w:r>
              <w:rPr>
                <w:rFonts w:ascii="Atkinson Hyperlegible" w:eastAsia="Atkinson Hyperlegible" w:hAnsi="Atkinson Hyperlegible" w:cs="Atkinson Hyperlegible"/>
                <w:i/>
                <w:iCs/>
                <w:color w:val="B7B7B7"/>
                <w:sz w:val="20"/>
                <w:szCs w:val="20"/>
              </w:rPr>
              <w:lastRenderedPageBreak/>
              <w:t>Cal</w:t>
            </w:r>
            <w:r w:rsidR="00EE24A2" w:rsidRPr="00EE24A2">
              <w:rPr>
                <w:rFonts w:ascii="Atkinson Hyperlegible" w:eastAsia="Atkinson Hyperlegible" w:hAnsi="Atkinson Hyperlegible" w:cs="Atkinson Hyperlegible"/>
                <w:i/>
                <w:iCs/>
                <w:color w:val="B7B7B7"/>
                <w:sz w:val="20"/>
                <w:szCs w:val="20"/>
              </w:rPr>
              <w:t xml:space="preserve"> descriure com integrar</w:t>
            </w:r>
            <w:r w:rsidR="00031A20">
              <w:rPr>
                <w:rFonts w:ascii="Atkinson Hyperlegible" w:eastAsia="Atkinson Hyperlegible" w:hAnsi="Atkinson Hyperlegible" w:cs="Atkinson Hyperlegible"/>
                <w:i/>
                <w:iCs/>
                <w:color w:val="B7B7B7"/>
                <w:sz w:val="20"/>
                <w:szCs w:val="20"/>
              </w:rPr>
              <w:t>eu</w:t>
            </w:r>
            <w:r w:rsidR="00EE24A2" w:rsidRPr="00EE24A2">
              <w:rPr>
                <w:rFonts w:ascii="Atkinson Hyperlegible" w:eastAsia="Atkinson Hyperlegible" w:hAnsi="Atkinson Hyperlegible" w:cs="Atkinson Hyperlegible"/>
                <w:i/>
                <w:iCs/>
                <w:color w:val="B7B7B7"/>
                <w:sz w:val="20"/>
                <w:szCs w:val="20"/>
              </w:rPr>
              <w:t xml:space="preserve"> els elements transversals establerts en el Projecte Educatiu del Centre (PEC) dins la </w:t>
            </w:r>
            <w:r w:rsidR="00031A20">
              <w:rPr>
                <w:rFonts w:ascii="Atkinson Hyperlegible" w:eastAsia="Atkinson Hyperlegible" w:hAnsi="Atkinson Hyperlegible" w:cs="Atkinson Hyperlegible"/>
                <w:i/>
                <w:iCs/>
                <w:color w:val="B7B7B7"/>
                <w:sz w:val="20"/>
                <w:szCs w:val="20"/>
              </w:rPr>
              <w:t>vostra</w:t>
            </w:r>
            <w:r w:rsidR="00EE24A2" w:rsidRPr="00EE24A2">
              <w:rPr>
                <w:rFonts w:ascii="Atkinson Hyperlegible" w:eastAsia="Atkinson Hyperlegible" w:hAnsi="Atkinson Hyperlegible" w:cs="Atkinson Hyperlegible"/>
                <w:i/>
                <w:iCs/>
                <w:color w:val="B7B7B7"/>
                <w:sz w:val="20"/>
                <w:szCs w:val="20"/>
              </w:rPr>
              <w:t xml:space="preserve"> matèria. </w:t>
            </w:r>
          </w:p>
        </w:tc>
      </w:tr>
      <w:tr w:rsidR="00300FDE" w:rsidRPr="00EE24A2" w14:paraId="76B9DF8C" w14:textId="77777777" w:rsidTr="23541EFB">
        <w:trPr>
          <w:trHeight w:val="420"/>
          <w:jc w:val="center"/>
        </w:trPr>
        <w:tc>
          <w:tcPr>
            <w:tcW w:w="3090" w:type="dxa"/>
            <w:shd w:val="clear" w:color="auto" w:fill="D9D9D9" w:themeFill="background1" w:themeFillShade="D9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72CD028" w14:textId="643A4518" w:rsidR="00300FDE" w:rsidRPr="00EE24A2" w:rsidRDefault="00D820DF" w:rsidP="23541EFB">
            <w:pPr>
              <w:widowControl w:val="0"/>
              <w:spacing w:line="360" w:lineRule="auto"/>
              <w:jc w:val="left"/>
              <w:rPr>
                <w:rFonts w:ascii="Atkinson Hyperlegible" w:eastAsia="Atkinson Hyperlegible" w:hAnsi="Atkinson Hyperlegible" w:cs="Atkinson Hyperlegible"/>
                <w:b/>
                <w:bCs/>
                <w:sz w:val="22"/>
                <w:szCs w:val="22"/>
              </w:rPr>
            </w:pPr>
            <w:r w:rsidRPr="00EE24A2">
              <w:rPr>
                <w:rFonts w:ascii="Atkinson Hyperlegible" w:eastAsia="Atkinson Hyperlegible" w:hAnsi="Atkinson Hyperlegible" w:cs="Atkinson Hyperlegible"/>
                <w:b/>
                <w:bCs/>
                <w:sz w:val="22"/>
                <w:szCs w:val="22"/>
              </w:rPr>
              <w:t>Activitats complementàries</w:t>
            </w:r>
          </w:p>
        </w:tc>
        <w:tc>
          <w:tcPr>
            <w:tcW w:w="10905" w:type="dxa"/>
            <w:gridSpan w:val="3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67625AF" w14:textId="069CE81E" w:rsidR="00EE24A2" w:rsidRPr="00EE24A2" w:rsidRDefault="003409F1" w:rsidP="00EE24A2">
            <w:pPr>
              <w:spacing w:line="288" w:lineRule="auto"/>
              <w:rPr>
                <w:rFonts w:ascii="Atkinson Hyperlegible" w:eastAsia="Atkinson Hyperlegible" w:hAnsi="Atkinson Hyperlegible" w:cs="Atkinson Hyperlegible"/>
                <w:i/>
                <w:iCs/>
                <w:color w:val="B7B7B7"/>
                <w:sz w:val="20"/>
                <w:szCs w:val="20"/>
              </w:rPr>
            </w:pPr>
            <w:r>
              <w:rPr>
                <w:rFonts w:ascii="Atkinson Hyperlegible" w:eastAsia="Atkinson Hyperlegible" w:hAnsi="Atkinson Hyperlegible" w:cs="Atkinson Hyperlegible"/>
                <w:i/>
                <w:iCs/>
                <w:color w:val="B7B7B7"/>
                <w:sz w:val="20"/>
                <w:szCs w:val="20"/>
              </w:rPr>
              <w:t>Cal</w:t>
            </w:r>
            <w:r w:rsidR="00031A20">
              <w:rPr>
                <w:rFonts w:ascii="Atkinson Hyperlegible" w:eastAsia="Atkinson Hyperlegible" w:hAnsi="Atkinson Hyperlegible" w:cs="Atkinson Hyperlegible"/>
                <w:i/>
                <w:iCs/>
                <w:color w:val="B7B7B7"/>
                <w:sz w:val="20"/>
                <w:szCs w:val="20"/>
              </w:rPr>
              <w:t xml:space="preserve"> </w:t>
            </w:r>
            <w:r w:rsidR="00EE24A2" w:rsidRPr="00EE24A2">
              <w:rPr>
                <w:rFonts w:ascii="Atkinson Hyperlegible" w:eastAsia="Atkinson Hyperlegible" w:hAnsi="Atkinson Hyperlegible" w:cs="Atkinson Hyperlegible"/>
                <w:i/>
                <w:iCs/>
                <w:color w:val="B7B7B7"/>
                <w:sz w:val="20"/>
                <w:szCs w:val="20"/>
              </w:rPr>
              <w:t>indicar les activitats complementàries que ten</w:t>
            </w:r>
            <w:r w:rsidR="00031A20">
              <w:rPr>
                <w:rFonts w:ascii="Atkinson Hyperlegible" w:eastAsia="Atkinson Hyperlegible" w:hAnsi="Atkinson Hyperlegible" w:cs="Atkinson Hyperlegible"/>
                <w:i/>
                <w:iCs/>
                <w:color w:val="B7B7B7"/>
                <w:sz w:val="20"/>
                <w:szCs w:val="20"/>
              </w:rPr>
              <w:t>iu</w:t>
            </w:r>
            <w:r w:rsidR="00EE24A2" w:rsidRPr="00EE24A2">
              <w:rPr>
                <w:rFonts w:ascii="Atkinson Hyperlegible" w:eastAsia="Atkinson Hyperlegible" w:hAnsi="Atkinson Hyperlegible" w:cs="Atkinson Hyperlegible"/>
                <w:i/>
                <w:iCs/>
                <w:color w:val="B7B7B7"/>
                <w:sz w:val="20"/>
                <w:szCs w:val="20"/>
              </w:rPr>
              <w:t xml:space="preserve"> previstes al llarg del curs, relacionades amb la matèria.  </w:t>
            </w:r>
          </w:p>
          <w:p w14:paraId="6D3A757B" w14:textId="218541A7" w:rsidR="00300FDE" w:rsidRPr="00EE24A2" w:rsidRDefault="00EE24A2" w:rsidP="23541EFB">
            <w:pPr>
              <w:spacing w:line="288" w:lineRule="auto"/>
              <w:rPr>
                <w:rFonts w:ascii="Atkinson Hyperlegible" w:eastAsia="Atkinson Hyperlegible" w:hAnsi="Atkinson Hyperlegible" w:cs="Atkinson Hyperlegible"/>
                <w:i/>
                <w:iCs/>
                <w:color w:val="B7B7B7"/>
                <w:sz w:val="20"/>
                <w:szCs w:val="20"/>
              </w:rPr>
            </w:pPr>
            <w:r w:rsidRPr="00EE24A2">
              <w:rPr>
                <w:rFonts w:ascii="Atkinson Hyperlegible" w:eastAsia="Atkinson Hyperlegible" w:hAnsi="Atkinson Hyperlegible" w:cs="Atkinson Hyperlegible"/>
                <w:i/>
                <w:iCs/>
                <w:color w:val="B7B7B7"/>
                <w:sz w:val="20"/>
                <w:szCs w:val="20"/>
              </w:rPr>
              <w:t>Po</w:t>
            </w:r>
            <w:r w:rsidR="00031A20">
              <w:rPr>
                <w:rFonts w:ascii="Atkinson Hyperlegible" w:eastAsia="Atkinson Hyperlegible" w:hAnsi="Atkinson Hyperlegible" w:cs="Atkinson Hyperlegible"/>
                <w:i/>
                <w:iCs/>
                <w:color w:val="B7B7B7"/>
                <w:sz w:val="20"/>
                <w:szCs w:val="20"/>
              </w:rPr>
              <w:t>deu</w:t>
            </w:r>
            <w:r w:rsidRPr="00EE24A2">
              <w:rPr>
                <w:rFonts w:ascii="Atkinson Hyperlegible" w:eastAsia="Atkinson Hyperlegible" w:hAnsi="Atkinson Hyperlegible" w:cs="Atkinson Hyperlegible"/>
                <w:i/>
                <w:iCs/>
                <w:color w:val="B7B7B7"/>
                <w:sz w:val="20"/>
                <w:szCs w:val="20"/>
              </w:rPr>
              <w:t xml:space="preserve"> incloure sortides escolars, visites culturals, tallers externs, activitats lúdiques amb finalitats didàctiques o participació en esdeveniments comunitaris.  </w:t>
            </w:r>
          </w:p>
        </w:tc>
      </w:tr>
      <w:tr w:rsidR="00D820DF" w:rsidRPr="00EE24A2" w14:paraId="013D2308" w14:textId="77777777" w:rsidTr="23541EFB">
        <w:trPr>
          <w:trHeight w:val="420"/>
          <w:jc w:val="center"/>
        </w:trPr>
        <w:tc>
          <w:tcPr>
            <w:tcW w:w="3090" w:type="dxa"/>
            <w:shd w:val="clear" w:color="auto" w:fill="D9D9D9" w:themeFill="background1" w:themeFillShade="D9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BFB5062" w14:textId="7867029D" w:rsidR="00D820DF" w:rsidRPr="00EE24A2" w:rsidRDefault="00D820DF" w:rsidP="23541EFB">
            <w:pPr>
              <w:widowControl w:val="0"/>
              <w:spacing w:line="360" w:lineRule="auto"/>
              <w:jc w:val="left"/>
              <w:rPr>
                <w:rFonts w:ascii="Atkinson Hyperlegible" w:eastAsia="Atkinson Hyperlegible" w:hAnsi="Atkinson Hyperlegible" w:cs="Atkinson Hyperlegible"/>
                <w:b/>
                <w:bCs/>
                <w:sz w:val="22"/>
                <w:szCs w:val="22"/>
              </w:rPr>
            </w:pPr>
            <w:r w:rsidRPr="00EE24A2">
              <w:rPr>
                <w:rFonts w:ascii="Atkinson Hyperlegible" w:eastAsia="Atkinson Hyperlegible" w:hAnsi="Atkinson Hyperlegible" w:cs="Atkinson Hyperlegible"/>
                <w:b/>
                <w:bCs/>
                <w:sz w:val="22"/>
                <w:szCs w:val="22"/>
              </w:rPr>
              <w:t>Pla de seguiment als alumnes que no promocionen</w:t>
            </w:r>
          </w:p>
        </w:tc>
        <w:tc>
          <w:tcPr>
            <w:tcW w:w="10905" w:type="dxa"/>
            <w:gridSpan w:val="3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347B6D0" w14:textId="0B19BB89" w:rsidR="00D820DF" w:rsidRPr="00EE24A2" w:rsidRDefault="003409F1" w:rsidP="23541EFB">
            <w:pPr>
              <w:spacing w:line="288" w:lineRule="auto"/>
              <w:rPr>
                <w:rFonts w:ascii="Atkinson Hyperlegible" w:eastAsia="Atkinson Hyperlegible" w:hAnsi="Atkinson Hyperlegible" w:cs="Atkinson Hyperlegible"/>
                <w:i/>
                <w:iCs/>
                <w:color w:val="B7B7B7"/>
                <w:sz w:val="20"/>
                <w:szCs w:val="20"/>
              </w:rPr>
            </w:pPr>
            <w:r>
              <w:rPr>
                <w:rFonts w:ascii="Atkinson Hyperlegible" w:eastAsia="Atkinson Hyperlegible" w:hAnsi="Atkinson Hyperlegible" w:cs="Atkinson Hyperlegible"/>
                <w:i/>
                <w:iCs/>
                <w:color w:val="B7B7B7"/>
                <w:sz w:val="20"/>
                <w:szCs w:val="20"/>
              </w:rPr>
              <w:t>C</w:t>
            </w:r>
            <w:r w:rsidR="00031A20">
              <w:rPr>
                <w:rFonts w:ascii="Atkinson Hyperlegible" w:eastAsia="Atkinson Hyperlegible" w:hAnsi="Atkinson Hyperlegible" w:cs="Atkinson Hyperlegible"/>
                <w:i/>
                <w:iCs/>
                <w:color w:val="B7B7B7"/>
                <w:sz w:val="20"/>
                <w:szCs w:val="20"/>
              </w:rPr>
              <w:t>al</w:t>
            </w:r>
            <w:r w:rsidR="00EE24A2" w:rsidRPr="00EE24A2">
              <w:rPr>
                <w:rFonts w:ascii="Atkinson Hyperlegible" w:eastAsia="Atkinson Hyperlegible" w:hAnsi="Atkinson Hyperlegible" w:cs="Atkinson Hyperlegible"/>
                <w:i/>
                <w:iCs/>
                <w:color w:val="B7B7B7"/>
                <w:sz w:val="20"/>
                <w:szCs w:val="20"/>
              </w:rPr>
              <w:t xml:space="preserve"> descriure les accions, mesures i suports específics que </w:t>
            </w:r>
            <w:r w:rsidR="00031A20">
              <w:rPr>
                <w:rFonts w:ascii="Atkinson Hyperlegible" w:eastAsia="Atkinson Hyperlegible" w:hAnsi="Atkinson Hyperlegible" w:cs="Atkinson Hyperlegible"/>
                <w:i/>
                <w:iCs/>
                <w:color w:val="B7B7B7"/>
                <w:sz w:val="20"/>
                <w:szCs w:val="20"/>
              </w:rPr>
              <w:t>teniu previst</w:t>
            </w:r>
            <w:r w:rsidR="00EE24A2" w:rsidRPr="00EE24A2">
              <w:rPr>
                <w:rFonts w:ascii="Atkinson Hyperlegible" w:eastAsia="Atkinson Hyperlegible" w:hAnsi="Atkinson Hyperlegible" w:cs="Atkinson Hyperlegible"/>
                <w:i/>
                <w:iCs/>
                <w:color w:val="B7B7B7"/>
                <w:sz w:val="20"/>
                <w:szCs w:val="20"/>
              </w:rPr>
              <w:t xml:space="preserve"> per a l’alumnat que no va promocionar de curs</w:t>
            </w:r>
            <w:r w:rsidR="00031A20">
              <w:rPr>
                <w:rFonts w:ascii="Atkinson Hyperlegible" w:eastAsia="Atkinson Hyperlegible" w:hAnsi="Atkinson Hyperlegible" w:cs="Atkinson Hyperlegible"/>
                <w:i/>
                <w:iCs/>
                <w:color w:val="B7B7B7"/>
                <w:sz w:val="20"/>
                <w:szCs w:val="20"/>
              </w:rPr>
              <w:t>,</w:t>
            </w:r>
            <w:r w:rsidR="00EE24A2" w:rsidRPr="00EE24A2">
              <w:rPr>
                <w:rFonts w:ascii="Atkinson Hyperlegible" w:eastAsia="Atkinson Hyperlegible" w:hAnsi="Atkinson Hyperlegible" w:cs="Atkinson Hyperlegible"/>
                <w:i/>
                <w:iCs/>
                <w:color w:val="B7B7B7"/>
                <w:sz w:val="20"/>
                <w:szCs w:val="20"/>
              </w:rPr>
              <w:t xml:space="preserve"> d’acord amb el pla establert en el centre. </w:t>
            </w:r>
          </w:p>
        </w:tc>
      </w:tr>
      <w:tr w:rsidR="00D820DF" w:rsidRPr="00EE24A2" w14:paraId="5F8287F5" w14:textId="77777777" w:rsidTr="23541EFB">
        <w:trPr>
          <w:trHeight w:val="420"/>
          <w:jc w:val="center"/>
        </w:trPr>
        <w:tc>
          <w:tcPr>
            <w:tcW w:w="3090" w:type="dxa"/>
            <w:shd w:val="clear" w:color="auto" w:fill="D9D9D9" w:themeFill="background1" w:themeFillShade="D9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9E27DD8" w14:textId="50F1E35B" w:rsidR="00D820DF" w:rsidRPr="00EE24A2" w:rsidRDefault="00D820DF" w:rsidP="23541EFB">
            <w:pPr>
              <w:widowControl w:val="0"/>
              <w:spacing w:line="360" w:lineRule="auto"/>
              <w:jc w:val="left"/>
              <w:rPr>
                <w:rFonts w:ascii="Atkinson Hyperlegible" w:eastAsia="Atkinson Hyperlegible" w:hAnsi="Atkinson Hyperlegible" w:cs="Atkinson Hyperlegible"/>
                <w:b/>
                <w:bCs/>
                <w:sz w:val="22"/>
                <w:szCs w:val="22"/>
              </w:rPr>
            </w:pPr>
            <w:r w:rsidRPr="00EE24A2">
              <w:rPr>
                <w:rFonts w:ascii="Atkinson Hyperlegible" w:eastAsia="Atkinson Hyperlegible" w:hAnsi="Atkinson Hyperlegible" w:cs="Atkinson Hyperlegible"/>
                <w:b/>
                <w:bCs/>
                <w:sz w:val="22"/>
                <w:szCs w:val="22"/>
              </w:rPr>
              <w:t>Pla de recuperació de matèries pendents</w:t>
            </w:r>
          </w:p>
        </w:tc>
        <w:tc>
          <w:tcPr>
            <w:tcW w:w="10905" w:type="dxa"/>
            <w:gridSpan w:val="3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102B265" w14:textId="114F3DAF" w:rsidR="00D820DF" w:rsidRPr="00EE24A2" w:rsidRDefault="003409F1" w:rsidP="23541EFB">
            <w:pPr>
              <w:spacing w:line="288" w:lineRule="auto"/>
              <w:rPr>
                <w:rFonts w:ascii="Atkinson Hyperlegible" w:eastAsia="Atkinson Hyperlegible" w:hAnsi="Atkinson Hyperlegible" w:cs="Atkinson Hyperlegible"/>
                <w:i/>
                <w:iCs/>
                <w:color w:val="B7B7B7"/>
                <w:sz w:val="20"/>
                <w:szCs w:val="20"/>
              </w:rPr>
            </w:pPr>
            <w:r>
              <w:rPr>
                <w:rFonts w:ascii="Atkinson Hyperlegible" w:eastAsia="Atkinson Hyperlegible" w:hAnsi="Atkinson Hyperlegible" w:cs="Atkinson Hyperlegible"/>
                <w:i/>
                <w:iCs/>
                <w:color w:val="B7B7B7"/>
                <w:sz w:val="20"/>
                <w:szCs w:val="20"/>
              </w:rPr>
              <w:t>C</w:t>
            </w:r>
            <w:r w:rsidR="00031A20">
              <w:rPr>
                <w:rFonts w:ascii="Atkinson Hyperlegible" w:eastAsia="Atkinson Hyperlegible" w:hAnsi="Atkinson Hyperlegible" w:cs="Atkinson Hyperlegible"/>
                <w:i/>
                <w:iCs/>
                <w:color w:val="B7B7B7"/>
                <w:sz w:val="20"/>
                <w:szCs w:val="20"/>
              </w:rPr>
              <w:t>al</w:t>
            </w:r>
            <w:r w:rsidR="00EE24A2" w:rsidRPr="00EE24A2">
              <w:rPr>
                <w:rFonts w:ascii="Atkinson Hyperlegible" w:eastAsia="Atkinson Hyperlegible" w:hAnsi="Atkinson Hyperlegible" w:cs="Atkinson Hyperlegible"/>
                <w:i/>
                <w:iCs/>
                <w:color w:val="B7B7B7"/>
                <w:sz w:val="20"/>
                <w:szCs w:val="20"/>
              </w:rPr>
              <w:t xml:space="preserve"> descriure el pla de recuperació de la matèria</w:t>
            </w:r>
            <w:r w:rsidR="00031A20">
              <w:rPr>
                <w:rFonts w:ascii="Atkinson Hyperlegible" w:eastAsia="Atkinson Hyperlegible" w:hAnsi="Atkinson Hyperlegible" w:cs="Atkinson Hyperlegible"/>
                <w:i/>
                <w:iCs/>
                <w:color w:val="B7B7B7"/>
                <w:sz w:val="20"/>
                <w:szCs w:val="20"/>
              </w:rPr>
              <w:t>.</w:t>
            </w:r>
          </w:p>
        </w:tc>
      </w:tr>
      <w:tr w:rsidR="00D820DF" w:rsidRPr="00EE24A2" w14:paraId="4FC96278" w14:textId="77777777" w:rsidTr="23541EFB">
        <w:trPr>
          <w:trHeight w:val="420"/>
          <w:jc w:val="center"/>
        </w:trPr>
        <w:tc>
          <w:tcPr>
            <w:tcW w:w="3090" w:type="dxa"/>
            <w:shd w:val="clear" w:color="auto" w:fill="D9D9D9" w:themeFill="background1" w:themeFillShade="D9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FE648EC" w14:textId="5475D008" w:rsidR="00D820DF" w:rsidRPr="00EE24A2" w:rsidRDefault="00D820DF" w:rsidP="23541EFB">
            <w:pPr>
              <w:widowControl w:val="0"/>
              <w:spacing w:line="360" w:lineRule="auto"/>
              <w:jc w:val="left"/>
              <w:rPr>
                <w:rFonts w:ascii="Atkinson Hyperlegible" w:eastAsia="Atkinson Hyperlegible" w:hAnsi="Atkinson Hyperlegible" w:cs="Atkinson Hyperlegible"/>
                <w:b/>
                <w:bCs/>
                <w:sz w:val="22"/>
                <w:szCs w:val="22"/>
              </w:rPr>
            </w:pPr>
            <w:r w:rsidRPr="00EE24A2">
              <w:rPr>
                <w:rFonts w:ascii="Atkinson Hyperlegible" w:eastAsia="Atkinson Hyperlegible" w:hAnsi="Atkinson Hyperlegible" w:cs="Atkinson Hyperlegible"/>
                <w:b/>
                <w:bCs/>
                <w:sz w:val="22"/>
                <w:szCs w:val="22"/>
              </w:rPr>
              <w:t>Mecanisme de revisió, avaluació i modificació de les programacions didàctiques</w:t>
            </w:r>
          </w:p>
        </w:tc>
        <w:tc>
          <w:tcPr>
            <w:tcW w:w="10905" w:type="dxa"/>
            <w:gridSpan w:val="3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2306B20" w14:textId="450DCF70" w:rsidR="00EE24A2" w:rsidRDefault="003409F1" w:rsidP="23541EFB">
            <w:pPr>
              <w:spacing w:line="288" w:lineRule="auto"/>
              <w:rPr>
                <w:rFonts w:ascii="Atkinson Hyperlegible" w:eastAsia="Atkinson Hyperlegible" w:hAnsi="Atkinson Hyperlegible" w:cs="Atkinson Hyperlegible"/>
                <w:i/>
                <w:iCs/>
                <w:color w:val="B7B7B7"/>
                <w:sz w:val="20"/>
                <w:szCs w:val="20"/>
              </w:rPr>
            </w:pPr>
            <w:r>
              <w:rPr>
                <w:rFonts w:ascii="Atkinson Hyperlegible" w:eastAsia="Atkinson Hyperlegible" w:hAnsi="Atkinson Hyperlegible" w:cs="Atkinson Hyperlegible"/>
                <w:i/>
                <w:iCs/>
                <w:color w:val="B7B7B7"/>
                <w:sz w:val="20"/>
                <w:szCs w:val="20"/>
              </w:rPr>
              <w:t>Cal</w:t>
            </w:r>
            <w:r w:rsidR="00EE24A2" w:rsidRPr="00EE24A2">
              <w:rPr>
                <w:rFonts w:ascii="Atkinson Hyperlegible" w:eastAsia="Atkinson Hyperlegible" w:hAnsi="Atkinson Hyperlegible" w:cs="Atkinson Hyperlegible"/>
                <w:i/>
                <w:iCs/>
                <w:color w:val="B7B7B7"/>
                <w:sz w:val="20"/>
                <w:szCs w:val="20"/>
              </w:rPr>
              <w:t xml:space="preserve"> descriure el procediment que seguir</w:t>
            </w:r>
            <w:r w:rsidR="00031A20">
              <w:rPr>
                <w:rFonts w:ascii="Atkinson Hyperlegible" w:eastAsia="Atkinson Hyperlegible" w:hAnsi="Atkinson Hyperlegible" w:cs="Atkinson Hyperlegible"/>
                <w:i/>
                <w:iCs/>
                <w:color w:val="B7B7B7"/>
                <w:sz w:val="20"/>
                <w:szCs w:val="20"/>
              </w:rPr>
              <w:t>eu</w:t>
            </w:r>
            <w:r w:rsidR="00EE24A2" w:rsidRPr="00EE24A2">
              <w:rPr>
                <w:rFonts w:ascii="Atkinson Hyperlegible" w:eastAsia="Atkinson Hyperlegible" w:hAnsi="Atkinson Hyperlegible" w:cs="Atkinson Hyperlegible"/>
                <w:i/>
                <w:iCs/>
                <w:color w:val="B7B7B7"/>
                <w:sz w:val="20"/>
                <w:szCs w:val="20"/>
              </w:rPr>
              <w:t xml:space="preserve"> per revisar, avaluar i actualitzar la programació didàctica al final del curs. Aquest procés ha de permetre identificar àrees de millora, detectar necessitats d’ajust i proposar canvis metodològics o organitzatius.</w:t>
            </w:r>
          </w:p>
          <w:p w14:paraId="408880FE" w14:textId="6D1F3B3C" w:rsidR="00D820DF" w:rsidRPr="00EE24A2" w:rsidRDefault="00EE24A2" w:rsidP="23541EFB">
            <w:pPr>
              <w:spacing w:line="288" w:lineRule="auto"/>
              <w:rPr>
                <w:rFonts w:ascii="Atkinson Hyperlegible" w:eastAsia="Atkinson Hyperlegible" w:hAnsi="Atkinson Hyperlegible" w:cs="Atkinson Hyperlegible"/>
                <w:i/>
                <w:iCs/>
                <w:color w:val="B7B7B7"/>
                <w:sz w:val="20"/>
                <w:szCs w:val="20"/>
              </w:rPr>
            </w:pPr>
            <w:r w:rsidRPr="00EE24A2">
              <w:rPr>
                <w:rFonts w:ascii="Atkinson Hyperlegible" w:eastAsia="Atkinson Hyperlegible" w:hAnsi="Atkinson Hyperlegible" w:cs="Atkinson Hyperlegible"/>
                <w:i/>
                <w:iCs/>
                <w:color w:val="B7B7B7"/>
                <w:sz w:val="20"/>
                <w:szCs w:val="20"/>
              </w:rPr>
              <w:t> </w:t>
            </w:r>
            <w:r w:rsidRPr="00EE24A2">
              <w:rPr>
                <w:rFonts w:ascii="Atkinson Hyperlegible" w:eastAsia="Atkinson Hyperlegible" w:hAnsi="Atkinson Hyperlegible" w:cs="Atkinson Hyperlegible"/>
                <w:i/>
                <w:iCs/>
                <w:color w:val="B7B7B7"/>
                <w:sz w:val="20"/>
                <w:szCs w:val="20"/>
              </w:rPr>
              <w:br/>
            </w:r>
          </w:p>
        </w:tc>
      </w:tr>
    </w:tbl>
    <w:p w14:paraId="6D98A12B" w14:textId="77777777" w:rsidR="009C24DA" w:rsidRDefault="009C24DA">
      <w:pPr>
        <w:spacing w:line="360" w:lineRule="auto"/>
        <w:rPr>
          <w:rFonts w:ascii="Atkinson Hyperlegible" w:eastAsia="Atkinson Hyperlegible" w:hAnsi="Atkinson Hyperlegible" w:cs="Atkinson Hyperlegible"/>
        </w:rPr>
      </w:pPr>
    </w:p>
    <w:sectPr w:rsidR="009C24DA">
      <w:headerReference w:type="default" r:id="rId10"/>
      <w:footerReference w:type="default" r:id="rId11"/>
      <w:pgSz w:w="16834" w:h="11909" w:orient="landscape"/>
      <w:pgMar w:top="1440" w:right="1440" w:bottom="1440" w:left="1440" w:header="720" w:footer="720" w:gutter="0"/>
      <w:pgNumType w:start="1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FD452A2" w14:textId="77777777" w:rsidR="00297A8A" w:rsidRPr="00EE24A2" w:rsidRDefault="00297A8A">
      <w:pPr>
        <w:spacing w:line="240" w:lineRule="auto"/>
      </w:pPr>
      <w:r w:rsidRPr="00EE24A2">
        <w:separator/>
      </w:r>
    </w:p>
  </w:endnote>
  <w:endnote w:type="continuationSeparator" w:id="0">
    <w:p w14:paraId="754F293B" w14:textId="77777777" w:rsidR="00297A8A" w:rsidRPr="00EE24A2" w:rsidRDefault="00297A8A">
      <w:pPr>
        <w:spacing w:line="240" w:lineRule="auto"/>
      </w:pPr>
      <w:r w:rsidRPr="00EE24A2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EB Garamond">
    <w:charset w:val="00"/>
    <w:family w:val="auto"/>
    <w:pitch w:val="variable"/>
    <w:sig w:usb0="E00002FF" w:usb1="02000413" w:usb2="00000000" w:usb3="00000000" w:csb0="0000019F" w:csb1="00000000"/>
    <w:embedRegular r:id="rId1" w:fontKey="{0E1CCD9E-A8DD-4269-B230-4446B8BAE3AA}"/>
    <w:embedBold r:id="rId2" w:fontKey="{34838079-54B8-4E6F-8A60-D38C4B34B707}"/>
  </w:font>
  <w:font w:name="Play">
    <w:charset w:val="00"/>
    <w:family w:val="auto"/>
    <w:pitch w:val="default"/>
    <w:embedRegular r:id="rId3" w:fontKey="{02F9AB93-40C8-4F61-BDD4-3521BC9ED6D8}"/>
    <w:embedBold r:id="rId4" w:fontKey="{A597C579-AD92-446F-9A76-0DB46C21778B}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Regular r:id="rId5" w:fontKey="{FA3C3A25-8087-4F65-95C8-9ED2D016186A}"/>
    <w:embedItalic r:id="rId6" w:fontKey="{8D4365CB-A25E-4FDB-B515-943CAE93B1A4}"/>
  </w:font>
  <w:font w:name="Atkinson Hyperlegible">
    <w:altName w:val="Calibri"/>
    <w:charset w:val="00"/>
    <w:family w:val="auto"/>
    <w:pitch w:val="default"/>
    <w:embedRegular r:id="rId7" w:fontKey="{31E1638E-1BCA-4EE8-A0CC-64564E11E707}"/>
    <w:embedBold r:id="rId8" w:fontKey="{A4C5A3F8-8C01-4E46-AA30-E31B1EA8C1A4}"/>
    <w:embedItalic r:id="rId9" w:fontKey="{8AFFF458-C162-4B29-99AF-52BAE76A498C}"/>
    <w:embedBoldItalic r:id="rId10" w:fontKey="{470BF288-E1CC-4A56-9654-1F373A38CBC7}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11" w:fontKey="{EF4A750F-BFF3-4EC0-AB48-E785BF87574C}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12" w:fontKey="{7EBFAD5D-7AF2-4E3C-ABB2-A82AE039151D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4650"/>
      <w:gridCol w:w="4650"/>
      <w:gridCol w:w="4650"/>
    </w:tblGrid>
    <w:tr w:rsidR="23541EFB" w:rsidRPr="00EE24A2" w14:paraId="1A528659" w14:textId="77777777" w:rsidTr="23541EFB">
      <w:trPr>
        <w:trHeight w:val="300"/>
      </w:trPr>
      <w:tc>
        <w:tcPr>
          <w:tcW w:w="4650" w:type="dxa"/>
        </w:tcPr>
        <w:p w14:paraId="6372637F" w14:textId="4B4A4D65" w:rsidR="23541EFB" w:rsidRPr="00EE24A2" w:rsidRDefault="23541EFB" w:rsidP="23541EFB">
          <w:pPr>
            <w:pStyle w:val="Encabezado"/>
            <w:ind w:left="-115"/>
            <w:jc w:val="left"/>
          </w:pPr>
        </w:p>
      </w:tc>
      <w:tc>
        <w:tcPr>
          <w:tcW w:w="4650" w:type="dxa"/>
        </w:tcPr>
        <w:p w14:paraId="286269FE" w14:textId="533D39CD" w:rsidR="23541EFB" w:rsidRPr="00EE24A2" w:rsidRDefault="23541EFB" w:rsidP="23541EFB">
          <w:pPr>
            <w:pStyle w:val="Encabezado"/>
            <w:jc w:val="center"/>
          </w:pPr>
        </w:p>
      </w:tc>
      <w:tc>
        <w:tcPr>
          <w:tcW w:w="4650" w:type="dxa"/>
        </w:tcPr>
        <w:p w14:paraId="2AADCA63" w14:textId="230B1483" w:rsidR="23541EFB" w:rsidRPr="00EE24A2" w:rsidRDefault="23541EFB" w:rsidP="23541EFB">
          <w:pPr>
            <w:pStyle w:val="Encabezado"/>
            <w:ind w:right="-115"/>
            <w:jc w:val="right"/>
          </w:pPr>
        </w:p>
      </w:tc>
    </w:tr>
  </w:tbl>
  <w:p w14:paraId="2EBE3CCC" w14:textId="481B491A" w:rsidR="23541EFB" w:rsidRPr="00EE24A2" w:rsidRDefault="23541EFB" w:rsidP="23541EFB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92E4EDE" w14:textId="77777777" w:rsidR="00297A8A" w:rsidRPr="00EE24A2" w:rsidRDefault="00297A8A">
      <w:pPr>
        <w:spacing w:line="240" w:lineRule="auto"/>
      </w:pPr>
      <w:r w:rsidRPr="00EE24A2">
        <w:separator/>
      </w:r>
    </w:p>
  </w:footnote>
  <w:footnote w:type="continuationSeparator" w:id="0">
    <w:p w14:paraId="3E4AC2C9" w14:textId="77777777" w:rsidR="00297A8A" w:rsidRPr="00EE24A2" w:rsidRDefault="00297A8A">
      <w:pPr>
        <w:spacing w:line="240" w:lineRule="auto"/>
      </w:pPr>
      <w:r w:rsidRPr="00EE24A2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34AE92E" w14:textId="77777777" w:rsidR="009C24DA" w:rsidRPr="00EE24A2" w:rsidRDefault="23541EFB">
    <w:pPr>
      <w:rPr>
        <w:rFonts w:ascii="Atkinson Hyperlegible" w:eastAsia="Atkinson Hyperlegible" w:hAnsi="Atkinson Hyperlegible" w:cs="Atkinson Hyperlegible"/>
        <w:highlight w:val="green"/>
      </w:rPr>
    </w:pPr>
    <w:r w:rsidRPr="00EE24A2">
      <w:rPr>
        <w:rFonts w:ascii="Atkinson Hyperlegible" w:eastAsia="Atkinson Hyperlegible" w:hAnsi="Atkinson Hyperlegible" w:cs="Atkinson Hyperlegible"/>
      </w:rPr>
      <w:t xml:space="preserve">                                                                                                                                                    </w:t>
    </w:r>
    <w:r w:rsidR="00E37E59" w:rsidRPr="00EE24A2">
      <w:rPr>
        <w:rFonts w:ascii="Atkinson Hyperlegible" w:eastAsia="Atkinson Hyperlegible" w:hAnsi="Atkinson Hyperlegible" w:cs="Atkinson Hyperlegible"/>
      </w:rPr>
      <w:tab/>
    </w:r>
    <w:r w:rsidR="00E37E59" w:rsidRPr="00EE24A2">
      <w:rPr>
        <w:rFonts w:ascii="Atkinson Hyperlegible" w:eastAsia="Atkinson Hyperlegible" w:hAnsi="Atkinson Hyperlegible" w:cs="Atkinson Hyperlegible"/>
      </w:rPr>
      <w:tab/>
    </w:r>
    <w:r w:rsidRPr="00EE24A2">
      <w:rPr>
        <w:rFonts w:ascii="Atkinson Hyperlegible" w:eastAsia="Atkinson Hyperlegible" w:hAnsi="Atkinson Hyperlegible" w:cs="Atkinson Hyperlegible"/>
        <w:highlight w:val="green"/>
      </w:rPr>
      <w:t>LOGO CENTRE</w:t>
    </w:r>
    <w:r w:rsidR="00E37E59" w:rsidRPr="00EE24A2">
      <w:rPr>
        <w:noProof/>
      </w:rPr>
      <w:drawing>
        <wp:anchor distT="114300" distB="114300" distL="114300" distR="114300" simplePos="0" relativeHeight="251658240" behindDoc="0" locked="0" layoutInCell="1" hidden="0" allowOverlap="1" wp14:anchorId="29430218" wp14:editId="07777777">
          <wp:simplePos x="0" y="0"/>
          <wp:positionH relativeFrom="column">
            <wp:posOffset>19051</wp:posOffset>
          </wp:positionH>
          <wp:positionV relativeFrom="paragraph">
            <wp:posOffset>-171449</wp:posOffset>
          </wp:positionV>
          <wp:extent cx="1497008" cy="623888"/>
          <wp:effectExtent l="0" t="0" r="0" b="0"/>
          <wp:wrapNone/>
          <wp:docPr id="2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497008" cy="623888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  <w:p w14:paraId="2946DB82" w14:textId="77777777" w:rsidR="009C24DA" w:rsidRPr="00EE24A2" w:rsidRDefault="009C24DA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AC0692"/>
    <w:multiLevelType w:val="hybridMultilevel"/>
    <w:tmpl w:val="81EA57B2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CEE6ACD"/>
    <w:multiLevelType w:val="hybridMultilevel"/>
    <w:tmpl w:val="F006B4E8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2E10407"/>
    <w:multiLevelType w:val="hybridMultilevel"/>
    <w:tmpl w:val="3A9A73C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03147688">
    <w:abstractNumId w:val="2"/>
  </w:num>
  <w:num w:numId="2" w16cid:durableId="1555002852">
    <w:abstractNumId w:val="0"/>
  </w:num>
  <w:num w:numId="3" w16cid:durableId="94426273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proofState w:spelling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C24DA"/>
    <w:rsid w:val="00031A20"/>
    <w:rsid w:val="00075EAC"/>
    <w:rsid w:val="000F643F"/>
    <w:rsid w:val="00102D17"/>
    <w:rsid w:val="0016404C"/>
    <w:rsid w:val="00171189"/>
    <w:rsid w:val="00174665"/>
    <w:rsid w:val="00190F24"/>
    <w:rsid w:val="0021609D"/>
    <w:rsid w:val="00227BD5"/>
    <w:rsid w:val="00297A8A"/>
    <w:rsid w:val="00300FDE"/>
    <w:rsid w:val="003303D3"/>
    <w:rsid w:val="003409F1"/>
    <w:rsid w:val="0036601E"/>
    <w:rsid w:val="003D0A98"/>
    <w:rsid w:val="00463C47"/>
    <w:rsid w:val="00493D64"/>
    <w:rsid w:val="00510B1F"/>
    <w:rsid w:val="005237E4"/>
    <w:rsid w:val="0055224D"/>
    <w:rsid w:val="006B01DF"/>
    <w:rsid w:val="006E7FF8"/>
    <w:rsid w:val="0070278E"/>
    <w:rsid w:val="00706058"/>
    <w:rsid w:val="00723497"/>
    <w:rsid w:val="00740D23"/>
    <w:rsid w:val="007E3A3C"/>
    <w:rsid w:val="00855EF5"/>
    <w:rsid w:val="00936FA4"/>
    <w:rsid w:val="009C24DA"/>
    <w:rsid w:val="009C5718"/>
    <w:rsid w:val="00A81F5D"/>
    <w:rsid w:val="00B655BA"/>
    <w:rsid w:val="00C2475B"/>
    <w:rsid w:val="00C504E5"/>
    <w:rsid w:val="00C64358"/>
    <w:rsid w:val="00CD3130"/>
    <w:rsid w:val="00D002C7"/>
    <w:rsid w:val="00D61526"/>
    <w:rsid w:val="00D62919"/>
    <w:rsid w:val="00D72752"/>
    <w:rsid w:val="00D820DF"/>
    <w:rsid w:val="00DE028E"/>
    <w:rsid w:val="00E26D5C"/>
    <w:rsid w:val="00E35310"/>
    <w:rsid w:val="00E37E59"/>
    <w:rsid w:val="00E65F09"/>
    <w:rsid w:val="00EE24A2"/>
    <w:rsid w:val="00F233A8"/>
    <w:rsid w:val="00F35FA2"/>
    <w:rsid w:val="00FD680B"/>
    <w:rsid w:val="00FF7FBF"/>
    <w:rsid w:val="23541EFB"/>
    <w:rsid w:val="29D3B3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a-E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111858"/>
  <w15:docId w15:val="{E7AFBBA7-C25D-4AEF-9C46-6B90B50253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EB Garamond" w:eastAsia="EB Garamond" w:hAnsi="EB Garamond" w:cs="EB Garamond"/>
        <w:sz w:val="26"/>
        <w:szCs w:val="26"/>
        <w:lang w:val="es" w:eastAsia="ja-JP" w:bidi="ar-SA"/>
      </w:rPr>
    </w:rPrDefault>
    <w:pPrDefault>
      <w:pPr>
        <w:spacing w:line="276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val="ca-ES"/>
    </w:rPr>
  </w:style>
  <w:style w:type="paragraph" w:styleId="Ttulo1">
    <w:name w:val="heading 1"/>
    <w:basedOn w:val="Normal"/>
    <w:next w:val="Normal"/>
    <w:uiPriority w:val="9"/>
    <w:qFormat/>
    <w:pPr>
      <w:widowControl w:val="0"/>
      <w:ind w:firstLine="284"/>
      <w:jc w:val="center"/>
      <w:outlineLvl w:val="0"/>
    </w:pPr>
    <w:rPr>
      <w:rFonts w:ascii="Play" w:eastAsia="Play" w:hAnsi="Play" w:cs="Play"/>
      <w:b/>
      <w:sz w:val="40"/>
      <w:szCs w:val="40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widowControl w:val="0"/>
      <w:outlineLvl w:val="1"/>
    </w:pPr>
    <w:rPr>
      <w:rFonts w:ascii="Play" w:eastAsia="Play" w:hAnsi="Play" w:cs="Play"/>
      <w:b/>
      <w:sz w:val="32"/>
      <w:szCs w:val="32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outlineLvl w:val="2"/>
    </w:pPr>
    <w:rPr>
      <w:rFonts w:ascii="Play" w:eastAsia="Play" w:hAnsi="Play" w:cs="Play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uentedeprrafopredeter">
    <w:name w:val="Default Paragraph Font"/>
    <w:uiPriority w:val="1"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ind w:firstLine="284"/>
      <w:jc w:val="center"/>
    </w:pPr>
    <w:rPr>
      <w:rFonts w:ascii="Play" w:eastAsia="Play" w:hAnsi="Play" w:cs="Play"/>
      <w:b/>
      <w:sz w:val="36"/>
      <w:szCs w:val="36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00">
    <w:name w:val="Table Normal0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1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">
    <w:basedOn w:val="TableNormal1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0">
    <w:basedOn w:val="TableNormal1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1">
    <w:basedOn w:val="TableNormal1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2">
    <w:basedOn w:val="TableNormal1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Encabezado">
    <w:name w:val="header"/>
    <w:basedOn w:val="Normal"/>
    <w:uiPriority w:val="99"/>
    <w:unhideWhenUsed/>
    <w:rsid w:val="23541EFB"/>
    <w:pPr>
      <w:tabs>
        <w:tab w:val="center" w:pos="4680"/>
        <w:tab w:val="right" w:pos="9360"/>
      </w:tabs>
      <w:spacing w:line="240" w:lineRule="auto"/>
    </w:pPr>
  </w:style>
  <w:style w:type="paragraph" w:styleId="Piedepgina">
    <w:name w:val="footer"/>
    <w:basedOn w:val="Normal"/>
    <w:uiPriority w:val="99"/>
    <w:unhideWhenUsed/>
    <w:rsid w:val="23541EFB"/>
    <w:pPr>
      <w:tabs>
        <w:tab w:val="center" w:pos="4680"/>
        <w:tab w:val="right" w:pos="9360"/>
      </w:tabs>
      <w:spacing w:line="240" w:lineRule="auto"/>
    </w:pPr>
  </w:style>
  <w:style w:type="table" w:styleId="Tablaconcuadrcula">
    <w:name w:val="Table Grid"/>
    <w:basedOn w:val="Tablanormal"/>
    <w:uiPriority w:val="59"/>
    <w:rsid w:val="00FB4123"/>
    <w:pPr>
      <w:spacing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Textocomentario">
    <w:name w:val="annotation text"/>
    <w:basedOn w:val="Normal"/>
    <w:link w:val="TextocomentarioCar"/>
    <w:uiPriority w:val="99"/>
    <w:semiHidden/>
    <w:unhideWhenUsed/>
    <w:pPr>
      <w:spacing w:line="240" w:lineRule="auto"/>
    </w:pPr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Pr>
      <w:sz w:val="20"/>
      <w:szCs w:val="20"/>
    </w:rPr>
  </w:style>
  <w:style w:type="character" w:styleId="Refdecomentario">
    <w:name w:val="annotation reference"/>
    <w:basedOn w:val="Fuentedeprrafopredeter"/>
    <w:uiPriority w:val="99"/>
    <w:semiHidden/>
    <w:unhideWhenUsed/>
    <w:rPr>
      <w:sz w:val="16"/>
      <w:szCs w:val="16"/>
    </w:rPr>
  </w:style>
  <w:style w:type="character" w:styleId="Hipervnculo">
    <w:name w:val="Hyperlink"/>
    <w:basedOn w:val="Fuentedeprrafopredeter"/>
    <w:uiPriority w:val="99"/>
    <w:unhideWhenUsed/>
    <w:rsid w:val="00031A20"/>
    <w:rPr>
      <w:color w:val="0000FF" w:themeColor="hyperlink"/>
      <w:u w:val="single"/>
    </w:rPr>
  </w:style>
  <w:style w:type="character" w:styleId="Mencinsinresolver">
    <w:name w:val="Unresolved Mention"/>
    <w:basedOn w:val="Fuentedeprrafopredeter"/>
    <w:uiPriority w:val="99"/>
    <w:semiHidden/>
    <w:unhideWhenUsed/>
    <w:rsid w:val="00031A20"/>
    <w:rPr>
      <w:color w:val="605E5C"/>
      <w:shd w:val="clear" w:color="auto" w:fill="E1DFDD"/>
    </w:rPr>
  </w:style>
  <w:style w:type="paragraph" w:styleId="Prrafodelista">
    <w:name w:val="List Paragraph"/>
    <w:basedOn w:val="Normal"/>
    <w:uiPriority w:val="34"/>
    <w:qFormat/>
    <w:rsid w:val="0036601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caib.es/sites/lomloe/ca/bat_materies/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s://www.caib.es/sites/lomloe/ca/bat_materies/" TargetMode="Externa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12" Type="http://schemas.openxmlformats.org/officeDocument/2006/relationships/font" Target="fonts/font12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V4P46mtRxYyZE8SCMayt/vz1YHw==">CgMxLjA4AHIhMVNOOW84VXZHSWo0a3hrSEJ4UnNUcUxaOUZmMkVIbkk0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3</Pages>
  <Words>783</Words>
  <Characters>4309</Characters>
  <Application>Microsoft Office Word</Application>
  <DocSecurity>0</DocSecurity>
  <Lines>35</Lines>
  <Paragraphs>10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Elena Maria Luciano Amengual</dc:creator>
  <cp:lastModifiedBy>Elena Mª  Luciano Amengual</cp:lastModifiedBy>
  <cp:revision>22</cp:revision>
  <dcterms:created xsi:type="dcterms:W3CDTF">2025-09-25T11:08:00Z</dcterms:created>
  <dcterms:modified xsi:type="dcterms:W3CDTF">2026-08-06T07:25:00Z</dcterms:modified>
</cp:coreProperties>
</file>