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  <Override PartName="/customXml/item4.xml" ContentType="application/xml"/>
  <Override PartName="/customXml/itemProps4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lang w:val="es-ES" w:eastAsia="en-US" w:bidi="ar-SA"/>
        </w:rPr>
      </w:pPr>
      <w:r>
        <w:rPr>
          <w:b/>
          <w:bCs/>
          <w:lang w:val="es-ES" w:eastAsia="en-US" w:bidi="ar-SA"/>
        </w:rPr>
        <w:t>DOCUMENTO DE MEDIDAS D</w:t>
      </w:r>
      <w:r>
        <w:rPr>
          <w:b/>
          <w:bCs/>
          <w:lang w:val="es-ES" w:eastAsia="en-US" w:bidi="ar-SA"/>
        </w:rPr>
        <w:t>E</w:t>
      </w:r>
      <w:r>
        <w:rPr>
          <w:b/>
          <w:bCs/>
          <w:lang w:val="es-ES" w:eastAsia="en-US" w:bidi="ar-SA"/>
        </w:rPr>
        <w:t xml:space="preserve"> IGUALDAD</w:t>
      </w:r>
    </w:p>
    <w:p>
      <w:pPr>
        <w:pStyle w:val="Normal"/>
        <w:rPr>
          <w:lang w:val="es-ES" w:eastAsia="en-US" w:bidi="ar-SA"/>
        </w:rPr>
      </w:pPr>
      <w:r>
        <w:rPr>
          <w:b/>
          <w:bCs/>
          <w:lang w:val="es-ES" w:eastAsia="en-US" w:bidi="ar-SA"/>
        </w:rPr>
        <w:t>[Nombre de la entidad] Fecha:</w:t>
      </w:r>
      <w:r>
        <w:rPr>
          <w:lang w:val="es-ES" w:eastAsia="en-US" w:bidi="ar-SA"/>
        </w:rPr>
        <w:t xml:space="preserve"> [dd/mm/aaaa] </w:t>
      </w:r>
    </w:p>
    <w:p>
      <w:pPr>
        <w:pStyle w:val="Normal"/>
        <w:rPr>
          <w:lang w:val="es-ES" w:eastAsia="en-US" w:bidi="ar-SA"/>
        </w:rPr>
      </w:pPr>
      <w:r>
        <w:rPr>
          <w:b/>
          <w:bCs/>
          <w:lang w:val="es-ES" w:eastAsia="en-US" w:bidi="ar-SA"/>
        </w:rPr>
        <w:t>Número de personas trabajadoras:</w:t>
      </w:r>
      <w:r>
        <w:rPr>
          <w:lang w:val="es-ES" w:eastAsia="en-US" w:bidi="ar-SA"/>
        </w:rPr>
        <w:t xml:space="preserve"> [XX]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</w:p>
    <w:p>
      <w:pPr>
        <w:pStyle w:val="Normal"/>
        <w:rPr>
          <w:b/>
          <w:b/>
          <w:bCs/>
        </w:rPr>
      </w:pPr>
      <w:r>
        <w:rPr>
          <w:b/>
          <w:bCs/>
          <w:lang w:val="es-ES" w:eastAsia="en-US" w:bidi="ar-SA"/>
        </w:rPr>
        <w:t>1. Declaración de compromiso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w:t xml:space="preserve">La entidad de formación </w:t>
      </w:r>
      <w:r>
        <w:rPr>
          <w:b/>
          <w:bCs/>
          <w:lang w:val="es-ES" w:eastAsia="en-US" w:bidi="ar-SA"/>
        </w:rPr>
        <w:t>[nombre]</w:t>
      </w:r>
      <w:r>
        <w:rPr>
          <w:lang w:val="es-ES" w:eastAsia="en-US" w:bidi="ar-SA"/>
        </w:rPr>
        <w:t xml:space="preserve"> con CIF XXXXXX manifiesta su compromiso con el principio de igualdad de trato y de oportunidades entre mujeres y hombres, así como con la no discriminación por razón de sexo, estado civil, embarazo, responsabilidades familiares, orientación sexual, identidad de género o cualquier otra condición personal o social.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w:t>La dirección asume la responsabilidad de integrar la igualdad en la gestión diaria de la empresa y de velar por su cumplimiento efectivo.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2. Ámbito de aplicación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w:t>Estas medidas se aplican a toda la plantilla, con independencia de la modalidad contractual, categoría profesional o nivel jerárquico.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3. Medidas adoptadas</w:t>
      </w:r>
    </w:p>
    <w:p>
      <w:pPr>
        <w:pStyle w:val="Normal"/>
        <w:rPr>
          <w:b/>
          <w:b/>
          <w:bCs/>
        </w:rPr>
      </w:pPr>
      <w:r>
        <w:rPr>
          <w:b/>
          <w:bCs/>
          <w:lang w:val="es-ES" w:eastAsia="en-US" w:bidi="ar-SA"/>
        </w:rPr>
        <w:t>3.1. Acceso a la ocupación y la contratación</w:t>
      </w:r>
    </w:p>
    <w:p>
      <w:pPr>
        <w:pStyle w:val="Normal"/>
        <w:numPr>
          <w:ilvl w:val="0"/>
          <w:numId w:val="2"/>
        </w:numPr>
        <w:rPr>
          <w:lang w:val="es-ES" w:eastAsia="en-US" w:bidi="ar-SA"/>
        </w:rPr>
      </w:pPr>
      <w:r>
        <w:rPr>
          <w:lang w:val="es-ES" w:eastAsia="en-US" w:bidi="ar-SA"/>
        </w:rPr>
        <w:t>Uso de lenguaje inclusivo en las ofertas de trabajo.</w:t>
      </w:r>
    </w:p>
    <w:p>
      <w:pPr>
        <w:pStyle w:val="Normal"/>
        <w:numPr>
          <w:ilvl w:val="0"/>
          <w:numId w:val="2"/>
        </w:numPr>
        <w:rPr>
          <w:lang w:val="es-ES" w:eastAsia="en-US" w:bidi="ar-SA"/>
        </w:rPr>
      </w:pPr>
      <w:r>
        <w:rPr>
          <w:lang w:val="es-ES" w:eastAsia="en-US" w:bidi="ar-SA"/>
        </w:rPr>
        <w:t>Definición de criterios objetivos y transparentes en los procesos de selección.</w:t>
      </w:r>
    </w:p>
    <w:p>
      <w:pPr>
        <w:pStyle w:val="Normal"/>
        <w:numPr>
          <w:ilvl w:val="0"/>
          <w:numId w:val="2"/>
        </w:numPr>
        <w:rPr>
          <w:lang w:val="es-ES" w:eastAsia="en-US" w:bidi="ar-SA"/>
        </w:rPr>
      </w:pPr>
      <w:r>
        <w:rPr>
          <w:lang w:val="es-ES" w:eastAsia="en-US" w:bidi="ar-SA"/>
        </w:rPr>
        <w:t>Prohibición de formular preguntas relativas a maternidad, embarazo o responsabilidades familiares.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3.2. Igualdad retributiva</w:t>
      </w:r>
    </w:p>
    <w:p>
      <w:pPr>
        <w:pStyle w:val="Normal"/>
        <w:numPr>
          <w:ilvl w:val="0"/>
          <w:numId w:val="3"/>
        </w:numPr>
        <w:rPr>
          <w:rFonts w:eastAsia="" w:eastAsiaTheme="minorEastAsia"/>
        </w:rPr>
      </w:pPr>
      <w:r>
        <w:rPr>
          <w:rFonts w:eastAsia="" w:eastAsiaTheme="minorEastAsia"/>
          <w:lang w:val="es-ES" w:eastAsia="en-US" w:bidi="ar-SA"/>
        </w:rPr>
        <w:t xml:space="preserve">Aplicación del principio de igual retribución por trabajo de igual valor. </w:t>
      </w:r>
    </w:p>
    <w:p>
      <w:pPr>
        <w:pStyle w:val="Normal"/>
        <w:numPr>
          <w:ilvl w:val="0"/>
          <w:numId w:val="3"/>
        </w:numPr>
        <w:rPr>
          <w:lang w:val="es-ES" w:eastAsia="en-US" w:bidi="ar-SA"/>
        </w:rPr>
      </w:pPr>
      <w:r>
        <w:rPr>
          <w:lang w:val="es-ES" w:eastAsia="en-US" w:bidi="ar-SA"/>
        </w:rPr>
        <w:t>Revisión periódica interna de las retribuciones para detectar posibles desigualdades.</w:t>
      </w:r>
    </w:p>
    <w:p>
      <w:pPr>
        <w:pStyle w:val="Normal"/>
        <w:numPr>
          <w:ilvl w:val="0"/>
          <w:numId w:val="3"/>
        </w:numPr>
        <w:rPr>
          <w:lang w:val="es-ES" w:eastAsia="en-US" w:bidi="ar-SA"/>
        </w:rPr>
      </w:pPr>
      <w:r>
        <w:rPr>
          <w:lang w:val="es-ES" w:eastAsia="en-US" w:bidi="ar-SA"/>
        </w:rPr>
        <w:t xml:space="preserve">Establecimiento de criterios objetivos </w:t>
      </w:r>
      <w:r>
        <w:rPr>
          <w:rFonts w:eastAsia="" w:eastAsiaTheme="minorEastAsia"/>
          <w:lang w:val="es-ES" w:eastAsia="en-US" w:bidi="ar-SA"/>
        </w:rPr>
        <w:t>p</w:t>
      </w:r>
      <w:r>
        <w:rPr>
          <w:rFonts w:eastAsia="" w:eastAsiaTheme="minorEastAsia"/>
          <w:lang w:val="es-ES" w:eastAsia="en-US" w:bidi="ar-SA"/>
        </w:rPr>
        <w:t>ara</w:t>
      </w:r>
      <w:r>
        <w:rPr>
          <w:lang w:val="es-ES" w:eastAsia="en-US" w:bidi="ar-SA"/>
        </w:rPr>
        <w:t xml:space="preserve"> complementos salariales e incentivos.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3.3. Conciliación y corresponsabilidad</w:t>
      </w:r>
    </w:p>
    <w:p>
      <w:pPr>
        <w:pStyle w:val="Normal"/>
        <w:numPr>
          <w:ilvl w:val="0"/>
          <w:numId w:val="4"/>
        </w:numPr>
        <w:rPr>
          <w:lang w:val="es-ES" w:eastAsia="en-US" w:bidi="ar-SA"/>
        </w:rPr>
      </w:pPr>
      <w:r>
        <w:rPr>
          <w:lang w:val="es-ES" w:eastAsia="en-US" w:bidi="ar-SA"/>
        </w:rPr>
        <w:t>Posibilidad de adaptación de la jornada laboral cuando la organización del trabajo lo permita.</w:t>
      </w:r>
    </w:p>
    <w:p>
      <w:pPr>
        <w:pStyle w:val="Normal"/>
        <w:numPr>
          <w:ilvl w:val="0"/>
          <w:numId w:val="4"/>
        </w:numPr>
        <w:rPr>
          <w:lang w:val="es-ES" w:eastAsia="en-US" w:bidi="ar-SA"/>
        </w:rPr>
      </w:pPr>
      <w:r>
        <w:rPr>
          <w:lang w:val="es-ES" w:eastAsia="en-US" w:bidi="ar-SA"/>
        </w:rPr>
        <w:t>Flexibilidad horaria dentro de las necesidades productivas.</w:t>
      </w:r>
    </w:p>
    <w:p>
      <w:pPr>
        <w:pStyle w:val="Normal"/>
        <w:numPr>
          <w:ilvl w:val="0"/>
          <w:numId w:val="4"/>
        </w:numPr>
        <w:rPr>
          <w:lang w:val="es-ES" w:eastAsia="en-US" w:bidi="ar-SA"/>
        </w:rPr>
      </w:pPr>
      <w:r>
        <w:rPr>
          <w:lang w:val="es-ES" w:eastAsia="en-US" w:bidi="ar-SA"/>
        </w:rPr>
        <w:t>Información clara sobre los derechos de conciliación (reducción de jornada, permisos, etc.)</w:t>
      </w:r>
    </w:p>
    <w:p>
      <w:pPr>
        <w:pStyle w:val="Normal"/>
        <w:numPr>
          <w:ilvl w:val="0"/>
          <w:numId w:val="4"/>
        </w:numPr>
        <w:rPr>
          <w:lang w:val="es-ES" w:eastAsia="en-US" w:bidi="ar-SA"/>
        </w:rPr>
      </w:pPr>
      <w:r>
        <w:rPr>
          <w:lang w:val="es-ES" w:eastAsia="en-US" w:bidi="ar-SA"/>
        </w:rPr>
        <w:t>No penalización profesional por el ejercicio de los derechos de conciliación.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3.4. Formación y promoción profesional</w:t>
      </w:r>
    </w:p>
    <w:p>
      <w:pPr>
        <w:pStyle w:val="Normal"/>
        <w:numPr>
          <w:ilvl w:val="0"/>
          <w:numId w:val="5"/>
        </w:numPr>
        <w:rPr>
          <w:lang w:val="es-ES" w:eastAsia="en-US" w:bidi="ar-SA"/>
        </w:rPr>
      </w:pPr>
      <w:r>
        <w:rPr>
          <w:lang w:val="es-ES" w:eastAsia="en-US" w:bidi="ar-SA"/>
        </w:rPr>
        <w:t>Acceso igualitario a las acciones formativas.</w:t>
      </w:r>
    </w:p>
    <w:p>
      <w:pPr>
        <w:pStyle w:val="Normal"/>
        <w:numPr>
          <w:ilvl w:val="0"/>
          <w:numId w:val="5"/>
        </w:numPr>
        <w:rPr>
          <w:lang w:val="es-ES" w:eastAsia="en-US" w:bidi="ar-SA"/>
        </w:rPr>
      </w:pPr>
      <w:r>
        <w:rPr>
          <w:lang w:val="es-ES" w:eastAsia="en-US" w:bidi="ar-SA"/>
        </w:rPr>
        <w:t>Criterios objetivos para promociones y asignación de responsabilidades.</w:t>
      </w:r>
    </w:p>
    <w:p>
      <w:pPr>
        <w:pStyle w:val="Normal"/>
        <w:numPr>
          <w:ilvl w:val="0"/>
          <w:numId w:val="5"/>
        </w:numPr>
        <w:rPr>
          <w:lang w:val="es-ES" w:eastAsia="en-US" w:bidi="ar-SA"/>
        </w:rPr>
      </w:pPr>
      <w:r>
        <w:rPr>
          <w:lang w:val="es-ES" w:eastAsia="en-US" w:bidi="ar-SA"/>
        </w:rPr>
        <w:t>Prohibición de asignar tareas en función de estereotipos de género.</w:t>
      </w:r>
    </w:p>
    <w:p>
      <w:pPr>
        <w:pStyle w:val="Normal"/>
        <w:numPr>
          <w:ilvl w:val="0"/>
          <w:numId w:val="5"/>
        </w:numPr>
        <w:rPr>
          <w:lang w:val="es-ES" w:eastAsia="en-US" w:bidi="ar-SA"/>
        </w:rPr>
      </w:pPr>
      <w:r>
        <w:rPr>
          <w:rFonts w:eastAsia="Calibri" w:cs="Calibri"/>
          <w:lang w:val="es-ES" w:eastAsia="en-US" w:bidi="ar-SA"/>
        </w:rPr>
        <w:t>En el diseño y la planificación de las acciones formativas, la empresa tendrá en cuenta medidas que favorezcan el acceso y la participación de las mujeres.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7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3.5. Prevención del acoso sexual y por razón de sexo</w:t>
      </w:r>
    </w:p>
    <w:p>
      <w:pPr>
        <w:pStyle w:val="ListParagraph"/>
        <w:numPr>
          <w:ilvl w:val="0"/>
          <w:numId w:val="1"/>
        </w:numPr>
        <w:rPr>
          <w:lang w:val="es-ES" w:eastAsia="en-US" w:bidi="ar-SA"/>
        </w:rPr>
      </w:pPr>
      <w:r>
        <w:rPr>
          <w:lang w:val="es-ES" w:eastAsia="en-US" w:bidi="ar-SA"/>
        </w:rPr>
        <w:t xml:space="preserve">La empresa dispone de un </w:t>
      </w:r>
      <w:r>
        <w:rPr>
          <w:b/>
          <w:bCs/>
          <w:lang w:val="es-ES" w:eastAsia="en-US" w:bidi="ar-SA"/>
        </w:rPr>
        <w:t>protocolo de prevención y actuación ante el acoso sexual y por razón de sexo</w:t>
      </w:r>
      <w:r>
        <w:rPr>
          <w:lang w:val="es-ES" w:eastAsia="en-US" w:bidi="ar-SA"/>
        </w:rPr>
        <w:t>, que incluye:</w:t>
      </w:r>
    </w:p>
    <w:p>
      <w:pPr>
        <w:pStyle w:val="Normal"/>
        <w:numPr>
          <w:ilvl w:val="0"/>
          <w:numId w:val="6"/>
        </w:numPr>
        <w:rPr>
          <w:lang w:val="es-ES" w:eastAsia="en-US" w:bidi="ar-SA"/>
        </w:rPr>
      </w:pPr>
      <w:r>
        <w:rPr>
          <w:lang w:val="es-ES" w:eastAsia="en-US" w:bidi="ar-SA"/>
        </w:rPr>
        <w:t>Canal confidencial para comunicar posibles situaciones de acoso.</w:t>
      </w:r>
    </w:p>
    <w:p>
      <w:pPr>
        <w:pStyle w:val="Normal"/>
        <w:numPr>
          <w:ilvl w:val="0"/>
          <w:numId w:val="6"/>
        </w:numPr>
        <w:rPr>
          <w:lang w:val="es-ES" w:eastAsia="en-US" w:bidi="ar-SA"/>
        </w:rPr>
      </w:pPr>
      <w:r>
        <w:rPr>
          <w:lang w:val="es-ES" w:eastAsia="en-US" w:bidi="ar-SA"/>
        </w:rPr>
        <w:t>Procedimiento de investigación rápido, imparcial y objetivo.</w:t>
      </w:r>
    </w:p>
    <w:p>
      <w:pPr>
        <w:pStyle w:val="Normal"/>
        <w:numPr>
          <w:ilvl w:val="0"/>
          <w:numId w:val="6"/>
        </w:numPr>
        <w:rPr>
          <w:lang w:val="es-ES" w:eastAsia="en-US" w:bidi="ar-SA"/>
        </w:rPr>
      </w:pPr>
      <w:r>
        <w:rPr>
          <w:lang w:val="es-ES" w:eastAsia="en-US" w:bidi="ar-SA"/>
        </w:rPr>
        <w:t>Garantía de confidencialidad y protección ante represalias.</w:t>
      </w:r>
    </w:p>
    <w:p>
      <w:pPr>
        <w:pStyle w:val="Normal"/>
        <w:numPr>
          <w:ilvl w:val="0"/>
          <w:numId w:val="6"/>
        </w:numPr>
        <w:rPr>
          <w:lang w:val="es-ES" w:eastAsia="en-US" w:bidi="ar-SA"/>
        </w:rPr>
      </w:pPr>
      <w:r>
        <w:rPr>
          <w:lang w:val="es-ES" w:eastAsia="en-US" w:bidi="ar-SA"/>
        </w:rPr>
        <w:t>Aplicación de medidas disciplinarias en caso de confirmar conductas constitutivas de acoso.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8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3.6. Prevención de riesgos laborales con perspectiva de género</w:t>
      </w:r>
    </w:p>
    <w:p>
      <w:pPr>
        <w:pStyle w:val="Normal"/>
        <w:numPr>
          <w:ilvl w:val="0"/>
          <w:numId w:val="7"/>
        </w:numPr>
        <w:rPr>
          <w:lang w:val="es-ES" w:eastAsia="en-US" w:bidi="ar-SA"/>
        </w:rPr>
      </w:pPr>
      <w:r>
        <w:rPr>
          <w:lang w:val="es-ES" w:eastAsia="en-US" w:bidi="ar-SA"/>
        </w:rPr>
        <w:t>Evaluación de riesgos teniendo en cuenta situaciones de embarazo y lactancia.</w:t>
      </w:r>
    </w:p>
    <w:p>
      <w:pPr>
        <w:pStyle w:val="Normal"/>
        <w:numPr>
          <w:ilvl w:val="0"/>
          <w:numId w:val="7"/>
        </w:numPr>
        <w:rPr>
          <w:lang w:val="es-ES" w:eastAsia="en-US" w:bidi="ar-SA"/>
        </w:rPr>
      </w:pPr>
      <w:r>
        <w:rPr>
          <w:lang w:val="es-ES" w:eastAsia="en-US" w:bidi="ar-SA"/>
        </w:rPr>
        <w:t>Adaptación del puesto de trabajo si es necesario.</w:t>
      </w:r>
    </w:p>
    <w:p>
      <w:pPr>
        <w:pStyle w:val="Normal"/>
        <w:numPr>
          <w:ilvl w:val="0"/>
          <w:numId w:val="7"/>
        </w:numPr>
        <w:rPr>
          <w:lang w:val="es-ES" w:eastAsia="en-US" w:bidi="ar-SA"/>
        </w:rPr>
      </w:pPr>
      <w:r>
        <w:rPr>
          <w:lang w:val="es-ES" w:eastAsia="en-US" w:bidi="ar-SA"/>
        </w:rPr>
        <w:t>Provisión de equipos de protección adecuados para todas las personas trabajadoras.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9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4. Seguimiento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w:t>La dirección revisará anualmente la aplicación de estas medidas con el objetivo de valorar la eficacia e introducir mejoras, si procede.</w:t>
      </w:r>
    </w:p>
    <w:p>
      <w:pPr>
        <w:pStyle w:val="Normal"/>
        <w:rPr>
          <w:b/>
          <w:b/>
          <w:bCs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10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  <w:r>
        <w:rPr>
          <w:b/>
          <w:bCs/>
          <w:lang w:val="es-ES" w:eastAsia="en-US" w:bidi="ar-SA"/>
        </w:rPr>
        <w:t>5. Comunicación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w:t>Este documento será comunicado a toda la plantilla y estará disponible para consultarlo en cualquier momento.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mc:AlternateContent>
          <mc:Choice Requires="wps">
            <w:drawing>
              <wp:inline distT="0" distB="0" distL="0" distR="0">
                <wp:extent cx="5401310" cy="20320"/>
                <wp:effectExtent l="0" t="0" r="0" b="0"/>
                <wp:docPr id="1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00720" cy="1980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  <wp14:sizeRelH relativeFrom="page">
                  <wp14:pctWidth>100000</wp14:pctWidth>
                </wp14:sizeRelH>
              </wp:inline>
            </w:drawing>
          </mc:Choice>
          <mc:Fallback>
            <w:pict>
              <v:rect id="shape_0" fillcolor="#a0a0a0" stroked="f" style="position:absolute;margin-left:0pt;margin-top:-1.6pt;width:425.2pt;height:1.5pt;mso-position-vertical:top">
                <w10:wrap type="none"/>
                <v:fill o:detectmouseclick="t" type="solid" color2="#5f5f5f"/>
                <v:stroke color="#3465a4" joinstyle="round" endcap="flat"/>
              </v:rect>
            </w:pict>
          </mc:Fallback>
        </mc:AlternateContent>
      </w:r>
    </w:p>
    <w:p>
      <w:pPr>
        <w:pStyle w:val="Normal"/>
        <w:rPr>
          <w:lang w:val="es-ES" w:eastAsia="en-US" w:bidi="ar-SA"/>
        </w:rPr>
      </w:pPr>
      <w:r>
        <w:rPr>
          <w:b/>
          <w:bCs/>
          <w:lang w:val="es-ES" w:eastAsia="en-US" w:bidi="ar-SA"/>
        </w:rPr>
        <w:t>Firma de la dirección</w:t>
      </w:r>
    </w:p>
    <w:p>
      <w:pPr>
        <w:pStyle w:val="Normal"/>
        <w:rPr>
          <w:lang w:val="es-ES" w:eastAsia="en-US" w:bidi="ar-SA"/>
        </w:rPr>
      </w:pPr>
      <w:r>
        <w:rPr>
          <w:lang w:val="es-ES" w:eastAsia="en-US" w:bidi="ar-SA"/>
        </w:rPr>
        <w:t>Nombre: ____________________ Cargo: ____________________ Fecha: ____________________</w:t>
      </w:r>
    </w:p>
    <w:p>
      <w:pPr>
        <w:pStyle w:val="Normal"/>
        <w:spacing w:before="0" w:after="160"/>
        <w:rPr>
          <w:lang w:val="es-ES" w:eastAsia="en-US" w:bidi="ar-SA"/>
        </w:rPr>
      </w:pPr>
      <w:r>
        <w:rPr>
          <w:lang w:val="es-ES" w:eastAsia="en-US" w:bidi="ar-SA"/>
        </w:rPr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rFonts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es-ES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ca-ES" w:eastAsia="en-US" w:bidi="ar-SA"/>
      <w14:ligatures w14:val="standardContextual"/>
    </w:rPr>
  </w:style>
  <w:style w:type="paragraph" w:styleId="Encapalament1">
    <w:name w:val="Heading 1"/>
    <w:basedOn w:val="Normal"/>
    <w:next w:val="Normal"/>
    <w:link w:val="Ttulo1Car"/>
    <w:uiPriority w:val="9"/>
    <w:qFormat/>
    <w:rsid w:val="009f14cc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paragraph" w:styleId="Encapalament2">
    <w:name w:val="Heading 2"/>
    <w:basedOn w:val="Normal"/>
    <w:next w:val="Normal"/>
    <w:link w:val="Ttulo2Car"/>
    <w:uiPriority w:val="9"/>
    <w:semiHidden/>
    <w:unhideWhenUsed/>
    <w:qFormat/>
    <w:rsid w:val="009f14cc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9f14cc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val="2F5496" w:themeColor="accent1" w:themeShade="bf"/>
      <w:sz w:val="28"/>
      <w:szCs w:val="28"/>
    </w:rPr>
  </w:style>
  <w:style w:type="paragraph" w:styleId="Encapalament4">
    <w:name w:val="Heading 4"/>
    <w:basedOn w:val="Normal"/>
    <w:next w:val="Normal"/>
    <w:link w:val="Ttulo4Car"/>
    <w:uiPriority w:val="9"/>
    <w:semiHidden/>
    <w:unhideWhenUsed/>
    <w:qFormat/>
    <w:rsid w:val="009f14cc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val="2F5496" w:themeColor="accent1" w:themeShade="bf"/>
    </w:rPr>
  </w:style>
  <w:style w:type="paragraph" w:styleId="Encapalament5">
    <w:name w:val="Heading 5"/>
    <w:basedOn w:val="Normal"/>
    <w:next w:val="Normal"/>
    <w:link w:val="Ttulo5Car"/>
    <w:uiPriority w:val="9"/>
    <w:semiHidden/>
    <w:unhideWhenUsed/>
    <w:qFormat/>
    <w:rsid w:val="009f14cc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val="2F5496" w:themeColor="accent1" w:themeShade="bf"/>
    </w:rPr>
  </w:style>
  <w:style w:type="paragraph" w:styleId="Encapalament6">
    <w:name w:val="Heading 6"/>
    <w:basedOn w:val="Normal"/>
    <w:next w:val="Normal"/>
    <w:link w:val="Ttulo6Car"/>
    <w:uiPriority w:val="9"/>
    <w:semiHidden/>
    <w:unhideWhenUsed/>
    <w:qFormat/>
    <w:rsid w:val="009f14cc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Encapalament7">
    <w:name w:val="Heading 7"/>
    <w:basedOn w:val="Normal"/>
    <w:next w:val="Normal"/>
    <w:link w:val="Ttulo7Car"/>
    <w:uiPriority w:val="9"/>
    <w:semiHidden/>
    <w:unhideWhenUsed/>
    <w:qFormat/>
    <w:rsid w:val="009f14cc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Encapalament8">
    <w:name w:val="Heading 8"/>
    <w:basedOn w:val="Normal"/>
    <w:next w:val="Normal"/>
    <w:link w:val="Ttulo8Car"/>
    <w:uiPriority w:val="9"/>
    <w:semiHidden/>
    <w:unhideWhenUsed/>
    <w:qFormat/>
    <w:rsid w:val="009f14cc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Encapalament9">
    <w:name w:val="Heading 9"/>
    <w:basedOn w:val="Normal"/>
    <w:next w:val="Normal"/>
    <w:link w:val="Ttulo9Car"/>
    <w:uiPriority w:val="9"/>
    <w:semiHidden/>
    <w:unhideWhenUsed/>
    <w:qFormat/>
    <w:rsid w:val="009f14cc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ar" w:customStyle="1">
    <w:name w:val="Título 1 Car"/>
    <w:basedOn w:val="DefaultParagraphFont"/>
    <w:link w:val="Ttulo1"/>
    <w:uiPriority w:val="9"/>
    <w:qFormat/>
    <w:rsid w:val="009f14cc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  <w:lang w:val="ca-ES"/>
    </w:rPr>
  </w:style>
  <w:style w:type="character" w:styleId="Ttulo2Car" w:customStyle="1">
    <w:name w:val="Título 2 Car"/>
    <w:basedOn w:val="DefaultParagraphFont"/>
    <w:link w:val="Ttulo2"/>
    <w:uiPriority w:val="9"/>
    <w:semiHidden/>
    <w:qFormat/>
    <w:rsid w:val="009f14cc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  <w:lang w:val="ca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9f14cc"/>
    <w:rPr>
      <w:rFonts w:eastAsia="" w:cs="" w:cstheme="majorBidi" w:eastAsiaTheme="majorEastAsia"/>
      <w:color w:val="2F5496" w:themeColor="accent1" w:themeShade="bf"/>
      <w:sz w:val="28"/>
      <w:szCs w:val="28"/>
      <w:lang w:val="ca-ES"/>
    </w:rPr>
  </w:style>
  <w:style w:type="character" w:styleId="Ttulo4Car" w:customStyle="1">
    <w:name w:val="Título 4 Car"/>
    <w:basedOn w:val="DefaultParagraphFont"/>
    <w:link w:val="Ttulo4"/>
    <w:uiPriority w:val="9"/>
    <w:semiHidden/>
    <w:qFormat/>
    <w:rsid w:val="009f14cc"/>
    <w:rPr>
      <w:rFonts w:eastAsia="" w:cs="" w:cstheme="majorBidi" w:eastAsiaTheme="majorEastAsia"/>
      <w:i/>
      <w:iCs/>
      <w:color w:val="2F5496" w:themeColor="accent1" w:themeShade="bf"/>
      <w:lang w:val="ca-ES"/>
    </w:rPr>
  </w:style>
  <w:style w:type="character" w:styleId="Ttulo5Car" w:customStyle="1">
    <w:name w:val="Título 5 Car"/>
    <w:basedOn w:val="DefaultParagraphFont"/>
    <w:link w:val="Ttulo5"/>
    <w:uiPriority w:val="9"/>
    <w:semiHidden/>
    <w:qFormat/>
    <w:rsid w:val="009f14cc"/>
    <w:rPr>
      <w:rFonts w:eastAsia="" w:cs="" w:cstheme="majorBidi" w:eastAsiaTheme="majorEastAsia"/>
      <w:color w:val="2F5496" w:themeColor="accent1" w:themeShade="bf"/>
      <w:lang w:val="ca-ES"/>
    </w:rPr>
  </w:style>
  <w:style w:type="character" w:styleId="Ttulo6Car" w:customStyle="1">
    <w:name w:val="Título 6 Car"/>
    <w:basedOn w:val="DefaultParagraphFont"/>
    <w:link w:val="Ttulo6"/>
    <w:uiPriority w:val="9"/>
    <w:semiHidden/>
    <w:qFormat/>
    <w:rsid w:val="009f14cc"/>
    <w:rPr>
      <w:rFonts w:eastAsia="" w:cs="" w:cstheme="majorBidi" w:eastAsiaTheme="majorEastAsia"/>
      <w:i/>
      <w:iCs/>
      <w:color w:val="595959" w:themeColor="text1" w:themeTint="a6"/>
      <w:lang w:val="ca-ES"/>
    </w:rPr>
  </w:style>
  <w:style w:type="character" w:styleId="Ttulo7Car" w:customStyle="1">
    <w:name w:val="Título 7 Car"/>
    <w:basedOn w:val="DefaultParagraphFont"/>
    <w:link w:val="Ttulo7"/>
    <w:uiPriority w:val="9"/>
    <w:semiHidden/>
    <w:qFormat/>
    <w:rsid w:val="009f14cc"/>
    <w:rPr>
      <w:rFonts w:eastAsia="" w:cs="" w:cstheme="majorBidi" w:eastAsiaTheme="majorEastAsia"/>
      <w:color w:val="595959" w:themeColor="text1" w:themeTint="a6"/>
      <w:lang w:val="ca-ES"/>
    </w:rPr>
  </w:style>
  <w:style w:type="character" w:styleId="Ttulo8Car" w:customStyle="1">
    <w:name w:val="Título 8 Car"/>
    <w:basedOn w:val="DefaultParagraphFont"/>
    <w:link w:val="Ttulo8"/>
    <w:uiPriority w:val="9"/>
    <w:semiHidden/>
    <w:qFormat/>
    <w:rsid w:val="009f14cc"/>
    <w:rPr>
      <w:rFonts w:eastAsia="" w:cs="" w:cstheme="majorBidi" w:eastAsiaTheme="majorEastAsia"/>
      <w:i/>
      <w:iCs/>
      <w:color w:val="272727" w:themeColor="text1" w:themeTint="d8"/>
      <w:lang w:val="ca-ES"/>
    </w:rPr>
  </w:style>
  <w:style w:type="character" w:styleId="Ttulo9Car" w:customStyle="1">
    <w:name w:val="Título 9 Car"/>
    <w:basedOn w:val="DefaultParagraphFont"/>
    <w:link w:val="Ttulo9"/>
    <w:uiPriority w:val="9"/>
    <w:semiHidden/>
    <w:qFormat/>
    <w:rsid w:val="009f14cc"/>
    <w:rPr>
      <w:rFonts w:eastAsia="" w:cs="" w:cstheme="majorBidi" w:eastAsiaTheme="majorEastAsia"/>
      <w:color w:val="272727" w:themeColor="text1" w:themeTint="d8"/>
      <w:lang w:val="ca-ES"/>
    </w:rPr>
  </w:style>
  <w:style w:type="character" w:styleId="TtuloCar" w:customStyle="1">
    <w:name w:val="Título Car"/>
    <w:basedOn w:val="DefaultParagraphFont"/>
    <w:link w:val="Ttulo"/>
    <w:uiPriority w:val="10"/>
    <w:qFormat/>
    <w:rsid w:val="009f14cc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  <w:lang w:val="ca-ES"/>
    </w:rPr>
  </w:style>
  <w:style w:type="character" w:styleId="SubttuloCar" w:customStyle="1">
    <w:name w:val="Subtítulo Car"/>
    <w:basedOn w:val="DefaultParagraphFont"/>
    <w:link w:val="Subttulo"/>
    <w:uiPriority w:val="11"/>
    <w:qFormat/>
    <w:rsid w:val="009f14cc"/>
    <w:rPr>
      <w:rFonts w:eastAsia="" w:cs="" w:cstheme="majorBidi" w:eastAsiaTheme="majorEastAsia"/>
      <w:color w:val="595959" w:themeColor="text1" w:themeTint="a6"/>
      <w:spacing w:val="15"/>
      <w:sz w:val="28"/>
      <w:szCs w:val="28"/>
      <w:lang w:val="ca-ES"/>
    </w:rPr>
  </w:style>
  <w:style w:type="character" w:styleId="CitaCar" w:customStyle="1">
    <w:name w:val="Cita Car"/>
    <w:basedOn w:val="DefaultParagraphFont"/>
    <w:link w:val="Cita"/>
    <w:uiPriority w:val="29"/>
    <w:qFormat/>
    <w:rsid w:val="009f14cc"/>
    <w:rPr>
      <w:i/>
      <w:iCs/>
      <w:color w:val="404040" w:themeColor="text1" w:themeTint="bf"/>
      <w:lang w:val="ca-ES"/>
    </w:rPr>
  </w:style>
  <w:style w:type="character" w:styleId="IntenseEmphasis">
    <w:name w:val="Intense Emphasis"/>
    <w:basedOn w:val="DefaultParagraphFont"/>
    <w:uiPriority w:val="21"/>
    <w:qFormat/>
    <w:rsid w:val="009f14cc"/>
    <w:rPr>
      <w:i/>
      <w:iCs/>
      <w:color w:val="2F5496" w:themeColor="accent1" w:themeShade="bf"/>
    </w:rPr>
  </w:style>
  <w:style w:type="character" w:styleId="CitadestacadaCar" w:customStyle="1">
    <w:name w:val="Cita destacada Car"/>
    <w:basedOn w:val="DefaultParagraphFont"/>
    <w:link w:val="Citadestacada"/>
    <w:uiPriority w:val="30"/>
    <w:qFormat/>
    <w:rsid w:val="009f14cc"/>
    <w:rPr>
      <w:i/>
      <w:iCs/>
      <w:color w:val="2F5496" w:themeColor="accent1" w:themeShade="bf"/>
      <w:lang w:val="ca-ES"/>
    </w:rPr>
  </w:style>
  <w:style w:type="character" w:styleId="IntenseReference">
    <w:name w:val="Intense Reference"/>
    <w:basedOn w:val="DefaultParagraphFont"/>
    <w:uiPriority w:val="32"/>
    <w:qFormat/>
    <w:rsid w:val="009f14cc"/>
    <w:rPr>
      <w:b/>
      <w:bCs/>
      <w:smallCaps/>
      <w:color w:val="2F5496" w:themeColor="accent1" w:themeShade="bf"/>
      <w:spacing w:val="5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sz w:val="20"/>
    </w:rPr>
  </w:style>
  <w:style w:type="character" w:styleId="ListLabel20">
    <w:name w:val="ListLabel 20"/>
    <w:qFormat/>
    <w:rPr>
      <w:sz w:val="20"/>
    </w:rPr>
  </w:style>
  <w:style w:type="character" w:styleId="ListLabel21">
    <w:name w:val="ListLabel 21"/>
    <w:qFormat/>
    <w:rPr>
      <w:sz w:val="20"/>
    </w:rPr>
  </w:style>
  <w:style w:type="character" w:styleId="ListLabel22">
    <w:name w:val="ListLabel 22"/>
    <w:qFormat/>
    <w:rPr>
      <w:sz w:val="20"/>
    </w:rPr>
  </w:style>
  <w:style w:type="character" w:styleId="ListLabel23">
    <w:name w:val="ListLabel 23"/>
    <w:qFormat/>
    <w:rPr>
      <w:sz w:val="20"/>
    </w:rPr>
  </w:style>
  <w:style w:type="character" w:styleId="ListLabel24">
    <w:name w:val="ListLabel 24"/>
    <w:qFormat/>
    <w:rPr>
      <w:sz w:val="20"/>
    </w:rPr>
  </w:style>
  <w:style w:type="character" w:styleId="ListLabel25">
    <w:name w:val="ListLabel 25"/>
    <w:qFormat/>
    <w:rPr>
      <w:sz w:val="20"/>
    </w:rPr>
  </w:style>
  <w:style w:type="character" w:styleId="ListLabel26">
    <w:name w:val="ListLabel 26"/>
    <w:qFormat/>
    <w:rPr>
      <w:sz w:val="20"/>
    </w:rPr>
  </w:style>
  <w:style w:type="character" w:styleId="ListLabel27">
    <w:name w:val="ListLabel 27"/>
    <w:qFormat/>
    <w:rPr>
      <w:sz w:val="20"/>
    </w:rPr>
  </w:style>
  <w:style w:type="character" w:styleId="ListLabel28">
    <w:name w:val="ListLabel 28"/>
    <w:qFormat/>
    <w:rPr>
      <w:rFonts w:ascii="Calibri" w:hAnsi="Calibri"/>
      <w:sz w:val="20"/>
    </w:rPr>
  </w:style>
  <w:style w:type="character" w:styleId="ListLabel29">
    <w:name w:val="ListLabel 29"/>
    <w:qFormat/>
    <w:rPr>
      <w:sz w:val="20"/>
    </w:rPr>
  </w:style>
  <w:style w:type="character" w:styleId="ListLabel30">
    <w:name w:val="ListLabel 30"/>
    <w:qFormat/>
    <w:rPr>
      <w:sz w:val="20"/>
    </w:rPr>
  </w:style>
  <w:style w:type="character" w:styleId="ListLabel31">
    <w:name w:val="ListLabel 31"/>
    <w:qFormat/>
    <w:rPr>
      <w:sz w:val="20"/>
    </w:rPr>
  </w:style>
  <w:style w:type="character" w:styleId="ListLabel32">
    <w:name w:val="ListLabel 32"/>
    <w:qFormat/>
    <w:rPr>
      <w:sz w:val="20"/>
    </w:rPr>
  </w:style>
  <w:style w:type="character" w:styleId="ListLabel33">
    <w:name w:val="ListLabel 33"/>
    <w:qFormat/>
    <w:rPr>
      <w:sz w:val="20"/>
    </w:rPr>
  </w:style>
  <w:style w:type="character" w:styleId="ListLabel34">
    <w:name w:val="ListLabel 34"/>
    <w:qFormat/>
    <w:rPr>
      <w:sz w:val="20"/>
    </w:rPr>
  </w:style>
  <w:style w:type="character" w:styleId="ListLabel35">
    <w:name w:val="ListLabel 35"/>
    <w:qFormat/>
    <w:rPr>
      <w:sz w:val="20"/>
    </w:rPr>
  </w:style>
  <w:style w:type="character" w:styleId="ListLabel36">
    <w:name w:val="ListLabel 36"/>
    <w:qFormat/>
    <w:rPr>
      <w:sz w:val="20"/>
    </w:rPr>
  </w:style>
  <w:style w:type="character" w:styleId="ListLabel37">
    <w:name w:val="ListLabel 37"/>
    <w:qFormat/>
    <w:rPr>
      <w:sz w:val="20"/>
    </w:rPr>
  </w:style>
  <w:style w:type="character" w:styleId="ListLabel38">
    <w:name w:val="ListLabel 38"/>
    <w:qFormat/>
    <w:rPr>
      <w:sz w:val="20"/>
    </w:rPr>
  </w:style>
  <w:style w:type="character" w:styleId="ListLabel39">
    <w:name w:val="ListLabel 39"/>
    <w:qFormat/>
    <w:rPr>
      <w:sz w:val="20"/>
    </w:rPr>
  </w:style>
  <w:style w:type="character" w:styleId="ListLabel40">
    <w:name w:val="ListLabel 40"/>
    <w:qFormat/>
    <w:rPr>
      <w:sz w:val="20"/>
    </w:rPr>
  </w:style>
  <w:style w:type="character" w:styleId="ListLabel41">
    <w:name w:val="ListLabel 41"/>
    <w:qFormat/>
    <w:rPr>
      <w:sz w:val="20"/>
    </w:rPr>
  </w:style>
  <w:style w:type="character" w:styleId="ListLabel42">
    <w:name w:val="ListLabel 42"/>
    <w:qFormat/>
    <w:rPr>
      <w:sz w:val="20"/>
    </w:rPr>
  </w:style>
  <w:style w:type="character" w:styleId="ListLabel43">
    <w:name w:val="ListLabel 43"/>
    <w:qFormat/>
    <w:rPr>
      <w:sz w:val="20"/>
    </w:rPr>
  </w:style>
  <w:style w:type="character" w:styleId="ListLabel44">
    <w:name w:val="ListLabel 44"/>
    <w:qFormat/>
    <w:rPr>
      <w:sz w:val="20"/>
    </w:rPr>
  </w:style>
  <w:style w:type="character" w:styleId="ListLabel45">
    <w:name w:val="ListLabel 45"/>
    <w:qFormat/>
    <w:rPr>
      <w:sz w:val="20"/>
    </w:rPr>
  </w:style>
  <w:style w:type="character" w:styleId="ListLabel46">
    <w:name w:val="ListLabel 46"/>
    <w:qFormat/>
    <w:rPr>
      <w:sz w:val="20"/>
    </w:rPr>
  </w:style>
  <w:style w:type="character" w:styleId="ListLabel47">
    <w:name w:val="ListLabel 47"/>
    <w:qFormat/>
    <w:rPr>
      <w:sz w:val="20"/>
    </w:rPr>
  </w:style>
  <w:style w:type="character" w:styleId="ListLabel48">
    <w:name w:val="ListLabel 48"/>
    <w:qFormat/>
    <w:rPr>
      <w:sz w:val="20"/>
    </w:rPr>
  </w:style>
  <w:style w:type="character" w:styleId="ListLabel49">
    <w:name w:val="ListLabel 49"/>
    <w:qFormat/>
    <w:rPr>
      <w:sz w:val="20"/>
    </w:rPr>
  </w:style>
  <w:style w:type="character" w:styleId="ListLabel50">
    <w:name w:val="ListLabel 50"/>
    <w:qFormat/>
    <w:rPr>
      <w:sz w:val="20"/>
    </w:rPr>
  </w:style>
  <w:style w:type="character" w:styleId="ListLabel51">
    <w:name w:val="ListLabel 51"/>
    <w:qFormat/>
    <w:rPr>
      <w:sz w:val="20"/>
    </w:rPr>
  </w:style>
  <w:style w:type="character" w:styleId="ListLabel52">
    <w:name w:val="ListLabel 52"/>
    <w:qFormat/>
    <w:rPr>
      <w:sz w:val="20"/>
    </w:rPr>
  </w:style>
  <w:style w:type="character" w:styleId="ListLabel53">
    <w:name w:val="ListLabel 53"/>
    <w:qFormat/>
    <w:rPr>
      <w:sz w:val="20"/>
    </w:rPr>
  </w:style>
  <w:style w:type="character" w:styleId="ListLabel54">
    <w:name w:val="ListLabel 54"/>
    <w:qFormat/>
    <w:rPr>
      <w:sz w:val="20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  <w:sz w:val="20"/>
    </w:rPr>
  </w:style>
  <w:style w:type="character" w:styleId="ListLabel65">
    <w:name w:val="ListLabel 65"/>
    <w:qFormat/>
    <w:rPr>
      <w:rFonts w:cs="Courier New"/>
      <w:sz w:val="20"/>
    </w:rPr>
  </w:style>
  <w:style w:type="character" w:styleId="ListLabel66">
    <w:name w:val="ListLabel 66"/>
    <w:qFormat/>
    <w:rPr>
      <w:rFonts w:cs="Wingdings"/>
      <w:sz w:val="20"/>
    </w:rPr>
  </w:style>
  <w:style w:type="character" w:styleId="ListLabel67">
    <w:name w:val="ListLabel 67"/>
    <w:qFormat/>
    <w:rPr>
      <w:rFonts w:cs="Wingdings"/>
      <w:sz w:val="20"/>
    </w:rPr>
  </w:style>
  <w:style w:type="character" w:styleId="ListLabel68">
    <w:name w:val="ListLabel 68"/>
    <w:qFormat/>
    <w:rPr>
      <w:rFonts w:cs="Wingdings"/>
      <w:sz w:val="20"/>
    </w:rPr>
  </w:style>
  <w:style w:type="character" w:styleId="ListLabel69">
    <w:name w:val="ListLabel 69"/>
    <w:qFormat/>
    <w:rPr>
      <w:rFonts w:cs="Wingdings"/>
      <w:sz w:val="20"/>
    </w:rPr>
  </w:style>
  <w:style w:type="character" w:styleId="ListLabel70">
    <w:name w:val="ListLabel 70"/>
    <w:qFormat/>
    <w:rPr>
      <w:rFonts w:cs="Wingdings"/>
      <w:sz w:val="20"/>
    </w:rPr>
  </w:style>
  <w:style w:type="character" w:styleId="ListLabel71">
    <w:name w:val="ListLabel 71"/>
    <w:qFormat/>
    <w:rPr>
      <w:rFonts w:cs="Wingdings"/>
      <w:sz w:val="20"/>
    </w:rPr>
  </w:style>
  <w:style w:type="character" w:styleId="ListLabel72">
    <w:name w:val="ListLabel 72"/>
    <w:qFormat/>
    <w:rPr>
      <w:rFonts w:cs="Wingdings"/>
      <w:sz w:val="20"/>
    </w:rPr>
  </w:style>
  <w:style w:type="character" w:styleId="ListLabel73">
    <w:name w:val="ListLabel 73"/>
    <w:qFormat/>
    <w:rPr>
      <w:rFonts w:cs="Symbol"/>
      <w:sz w:val="20"/>
    </w:rPr>
  </w:style>
  <w:style w:type="character" w:styleId="ListLabel74">
    <w:name w:val="ListLabel 74"/>
    <w:qFormat/>
    <w:rPr>
      <w:rFonts w:cs="Courier New"/>
      <w:sz w:val="20"/>
    </w:rPr>
  </w:style>
  <w:style w:type="character" w:styleId="ListLabel75">
    <w:name w:val="ListLabel 75"/>
    <w:qFormat/>
    <w:rPr>
      <w:rFonts w:cs="Wingdings"/>
      <w:sz w:val="20"/>
    </w:rPr>
  </w:style>
  <w:style w:type="character" w:styleId="ListLabel76">
    <w:name w:val="ListLabel 76"/>
    <w:qFormat/>
    <w:rPr>
      <w:rFonts w:cs="Wingdings"/>
      <w:sz w:val="20"/>
    </w:rPr>
  </w:style>
  <w:style w:type="character" w:styleId="ListLabel77">
    <w:name w:val="ListLabel 77"/>
    <w:qFormat/>
    <w:rPr>
      <w:rFonts w:cs="Wingdings"/>
      <w:sz w:val="20"/>
    </w:rPr>
  </w:style>
  <w:style w:type="character" w:styleId="ListLabel78">
    <w:name w:val="ListLabel 78"/>
    <w:qFormat/>
    <w:rPr>
      <w:rFonts w:cs="Wingdings"/>
      <w:sz w:val="20"/>
    </w:rPr>
  </w:style>
  <w:style w:type="character" w:styleId="ListLabel79">
    <w:name w:val="ListLabel 79"/>
    <w:qFormat/>
    <w:rPr>
      <w:rFonts w:cs="Wingdings"/>
      <w:sz w:val="20"/>
    </w:rPr>
  </w:style>
  <w:style w:type="character" w:styleId="ListLabel80">
    <w:name w:val="ListLabel 80"/>
    <w:qFormat/>
    <w:rPr>
      <w:rFonts w:cs="Wingdings"/>
      <w:sz w:val="20"/>
    </w:rPr>
  </w:style>
  <w:style w:type="character" w:styleId="ListLabel81">
    <w:name w:val="ListLabel 81"/>
    <w:qFormat/>
    <w:rPr>
      <w:rFonts w:cs="Wingdings"/>
      <w:sz w:val="20"/>
    </w:rPr>
  </w:style>
  <w:style w:type="character" w:styleId="ListLabel82">
    <w:name w:val="ListLabel 82"/>
    <w:qFormat/>
    <w:rPr>
      <w:rFonts w:cs="Symbol"/>
      <w:sz w:val="20"/>
    </w:rPr>
  </w:style>
  <w:style w:type="character" w:styleId="ListLabel83">
    <w:name w:val="ListLabel 83"/>
    <w:qFormat/>
    <w:rPr>
      <w:rFonts w:cs="Courier New"/>
      <w:sz w:val="20"/>
    </w:rPr>
  </w:style>
  <w:style w:type="character" w:styleId="ListLabel84">
    <w:name w:val="ListLabel 84"/>
    <w:qFormat/>
    <w:rPr>
      <w:rFonts w:cs="Wingdings"/>
      <w:sz w:val="20"/>
    </w:rPr>
  </w:style>
  <w:style w:type="character" w:styleId="ListLabel85">
    <w:name w:val="ListLabel 85"/>
    <w:qFormat/>
    <w:rPr>
      <w:rFonts w:cs="Wingdings"/>
      <w:sz w:val="20"/>
    </w:rPr>
  </w:style>
  <w:style w:type="character" w:styleId="ListLabel86">
    <w:name w:val="ListLabel 86"/>
    <w:qFormat/>
    <w:rPr>
      <w:rFonts w:cs="Wingdings"/>
      <w:sz w:val="20"/>
    </w:rPr>
  </w:style>
  <w:style w:type="character" w:styleId="ListLabel87">
    <w:name w:val="ListLabel 87"/>
    <w:qFormat/>
    <w:rPr>
      <w:rFonts w:cs="Wingdings"/>
      <w:sz w:val="20"/>
    </w:rPr>
  </w:style>
  <w:style w:type="character" w:styleId="ListLabel88">
    <w:name w:val="ListLabel 88"/>
    <w:qFormat/>
    <w:rPr>
      <w:rFonts w:cs="Wingdings"/>
      <w:sz w:val="20"/>
    </w:rPr>
  </w:style>
  <w:style w:type="character" w:styleId="ListLabel89">
    <w:name w:val="ListLabel 89"/>
    <w:qFormat/>
    <w:rPr>
      <w:rFonts w:cs="Wingdings"/>
      <w:sz w:val="20"/>
    </w:rPr>
  </w:style>
  <w:style w:type="character" w:styleId="ListLabel90">
    <w:name w:val="ListLabel 90"/>
    <w:qFormat/>
    <w:rPr>
      <w:rFonts w:cs="Wingdings"/>
      <w:sz w:val="20"/>
    </w:rPr>
  </w:style>
  <w:style w:type="character" w:styleId="ListLabel91">
    <w:name w:val="ListLabel 91"/>
    <w:qFormat/>
    <w:rPr>
      <w:rFonts w:cs="Symbol"/>
      <w:sz w:val="20"/>
    </w:rPr>
  </w:style>
  <w:style w:type="character" w:styleId="ListLabel92">
    <w:name w:val="ListLabel 92"/>
    <w:qFormat/>
    <w:rPr>
      <w:rFonts w:cs="Courier New"/>
      <w:sz w:val="20"/>
    </w:rPr>
  </w:style>
  <w:style w:type="character" w:styleId="ListLabel93">
    <w:name w:val="ListLabel 93"/>
    <w:qFormat/>
    <w:rPr>
      <w:rFonts w:cs="Wingdings"/>
      <w:sz w:val="20"/>
    </w:rPr>
  </w:style>
  <w:style w:type="character" w:styleId="ListLabel94">
    <w:name w:val="ListLabel 94"/>
    <w:qFormat/>
    <w:rPr>
      <w:rFonts w:cs="Wingdings"/>
      <w:sz w:val="20"/>
    </w:rPr>
  </w:style>
  <w:style w:type="character" w:styleId="ListLabel95">
    <w:name w:val="ListLabel 95"/>
    <w:qFormat/>
    <w:rPr>
      <w:rFonts w:cs="Wingdings"/>
      <w:sz w:val="20"/>
    </w:rPr>
  </w:style>
  <w:style w:type="character" w:styleId="ListLabel96">
    <w:name w:val="ListLabel 96"/>
    <w:qFormat/>
    <w:rPr>
      <w:rFonts w:cs="Wingdings"/>
      <w:sz w:val="20"/>
    </w:rPr>
  </w:style>
  <w:style w:type="character" w:styleId="ListLabel97">
    <w:name w:val="ListLabel 97"/>
    <w:qFormat/>
    <w:rPr>
      <w:rFonts w:cs="Wingdings"/>
      <w:sz w:val="20"/>
    </w:rPr>
  </w:style>
  <w:style w:type="character" w:styleId="ListLabel98">
    <w:name w:val="ListLabel 98"/>
    <w:qFormat/>
    <w:rPr>
      <w:rFonts w:cs="Wingdings"/>
      <w:sz w:val="20"/>
    </w:rPr>
  </w:style>
  <w:style w:type="character" w:styleId="ListLabel99">
    <w:name w:val="ListLabel 99"/>
    <w:qFormat/>
    <w:rPr>
      <w:rFonts w:cs="Wingdings"/>
      <w:sz w:val="20"/>
    </w:rPr>
  </w:style>
  <w:style w:type="character" w:styleId="ListLabel100">
    <w:name w:val="ListLabel 100"/>
    <w:qFormat/>
    <w:rPr>
      <w:rFonts w:cs="Symbol"/>
      <w:sz w:val="20"/>
    </w:rPr>
  </w:style>
  <w:style w:type="character" w:styleId="ListLabel101">
    <w:name w:val="ListLabel 101"/>
    <w:qFormat/>
    <w:rPr>
      <w:rFonts w:cs="Courier New"/>
      <w:sz w:val="20"/>
    </w:rPr>
  </w:style>
  <w:style w:type="character" w:styleId="ListLabel102">
    <w:name w:val="ListLabel 102"/>
    <w:qFormat/>
    <w:rPr>
      <w:rFonts w:cs="Wingdings"/>
      <w:sz w:val="20"/>
    </w:rPr>
  </w:style>
  <w:style w:type="character" w:styleId="ListLabel103">
    <w:name w:val="ListLabel 103"/>
    <w:qFormat/>
    <w:rPr>
      <w:rFonts w:cs="Wingdings"/>
      <w:sz w:val="20"/>
    </w:rPr>
  </w:style>
  <w:style w:type="character" w:styleId="ListLabel104">
    <w:name w:val="ListLabel 104"/>
    <w:qFormat/>
    <w:rPr>
      <w:rFonts w:cs="Wingdings"/>
      <w:sz w:val="20"/>
    </w:rPr>
  </w:style>
  <w:style w:type="character" w:styleId="ListLabel105">
    <w:name w:val="ListLabel 105"/>
    <w:qFormat/>
    <w:rPr>
      <w:rFonts w:cs="Wingdings"/>
      <w:sz w:val="20"/>
    </w:rPr>
  </w:style>
  <w:style w:type="character" w:styleId="ListLabel106">
    <w:name w:val="ListLabel 106"/>
    <w:qFormat/>
    <w:rPr>
      <w:rFonts w:cs="Wingdings"/>
      <w:sz w:val="20"/>
    </w:rPr>
  </w:style>
  <w:style w:type="character" w:styleId="ListLabel107">
    <w:name w:val="ListLabel 107"/>
    <w:qFormat/>
    <w:rPr>
      <w:rFonts w:cs="Wingdings"/>
      <w:sz w:val="20"/>
    </w:rPr>
  </w:style>
  <w:style w:type="character" w:styleId="ListLabel108">
    <w:name w:val="ListLabel 108"/>
    <w:qFormat/>
    <w:rPr>
      <w:rFonts w:cs="Wingdings"/>
      <w:sz w:val="20"/>
    </w:rPr>
  </w:style>
  <w:style w:type="character" w:styleId="ListLabel109">
    <w:name w:val="ListLabel 109"/>
    <w:qFormat/>
    <w:rPr>
      <w:rFonts w:cs="Symbol"/>
      <w:sz w:val="20"/>
    </w:rPr>
  </w:style>
  <w:style w:type="character" w:styleId="ListLabel110">
    <w:name w:val="ListLabel 110"/>
    <w:qFormat/>
    <w:rPr>
      <w:rFonts w:cs="Courier New"/>
      <w:sz w:val="20"/>
    </w:rPr>
  </w:style>
  <w:style w:type="character" w:styleId="ListLabel111">
    <w:name w:val="ListLabel 111"/>
    <w:qFormat/>
    <w:rPr>
      <w:rFonts w:cs="Wingdings"/>
      <w:sz w:val="20"/>
    </w:rPr>
  </w:style>
  <w:style w:type="character" w:styleId="ListLabel112">
    <w:name w:val="ListLabel 112"/>
    <w:qFormat/>
    <w:rPr>
      <w:rFonts w:cs="Wingdings"/>
      <w:sz w:val="20"/>
    </w:rPr>
  </w:style>
  <w:style w:type="character" w:styleId="ListLabel113">
    <w:name w:val="ListLabel 113"/>
    <w:qFormat/>
    <w:rPr>
      <w:rFonts w:cs="Wingdings"/>
      <w:sz w:val="20"/>
    </w:rPr>
  </w:style>
  <w:style w:type="character" w:styleId="ListLabel114">
    <w:name w:val="ListLabel 114"/>
    <w:qFormat/>
    <w:rPr>
      <w:rFonts w:cs="Wingdings"/>
      <w:sz w:val="20"/>
    </w:rPr>
  </w:style>
  <w:style w:type="character" w:styleId="ListLabel115">
    <w:name w:val="ListLabel 115"/>
    <w:qFormat/>
    <w:rPr>
      <w:rFonts w:cs="Wingdings"/>
      <w:sz w:val="20"/>
    </w:rPr>
  </w:style>
  <w:style w:type="character" w:styleId="ListLabel116">
    <w:name w:val="ListLabel 116"/>
    <w:qFormat/>
    <w:rPr>
      <w:rFonts w:cs="Wingdings"/>
      <w:sz w:val="20"/>
    </w:rPr>
  </w:style>
  <w:style w:type="character" w:styleId="ListLabel117">
    <w:name w:val="ListLabel 117"/>
    <w:qFormat/>
    <w:rPr>
      <w:rFonts w:cs="Wingdings"/>
      <w:sz w:val="20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Ttol">
    <w:name w:val="Title"/>
    <w:basedOn w:val="Normal"/>
    <w:next w:val="Normal"/>
    <w:link w:val="TtuloCar"/>
    <w:uiPriority w:val="10"/>
    <w:qFormat/>
    <w:rsid w:val="009f14cc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tol">
    <w:name w:val="Subtitle"/>
    <w:basedOn w:val="Normal"/>
    <w:next w:val="Normal"/>
    <w:link w:val="SubttuloCar"/>
    <w:uiPriority w:val="11"/>
    <w:qFormat/>
    <w:rsid w:val="009f14cc"/>
    <w:pPr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CitaCar"/>
    <w:uiPriority w:val="29"/>
    <w:qFormat/>
    <w:rsid w:val="009f14cc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14cc"/>
    <w:pPr>
      <w:spacing w:before="0" w:after="160"/>
      <w:ind w:left="720" w:hanging="0"/>
      <w:contextualSpacing/>
    </w:pPr>
    <w:rPr/>
  </w:style>
  <w:style w:type="paragraph" w:styleId="IntenseQuote">
    <w:name w:val="Intense Quote"/>
    <w:basedOn w:val="Normal"/>
    <w:next w:val="Normal"/>
    <w:link w:val="CitadestacadaCar"/>
    <w:uiPriority w:val="30"/>
    <w:qFormat/>
    <w:rsid w:val="009f14cc"/>
    <w:pPr>
      <w:pBdr>
        <w:top w:val="single" w:sz="4" w:space="10" w:color="2F5496"/>
        <w:bottom w:val="single" w:sz="4" w:space="10" w:color="2F5496"/>
      </w:pBdr>
      <w:spacing w:before="360" w:after="360"/>
      <w:ind w:left="864" w:right="864" w:hanging="0"/>
      <w:jc w:val="center"/>
    </w:pPr>
    <w:rPr>
      <w:i/>
      <w:iCs/>
      <w:color w:val="2F5496" w:themeColor="accent1" w:themeShade="bf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Relationship Id="rId7" Type="http://schemas.openxmlformats.org/officeDocument/2006/relationships/customXml" Target="../customXml/item2.xml"/><Relationship Id="rId8" Type="http://schemas.openxmlformats.org/officeDocument/2006/relationships/customXml" Target="../customXml/item3.xml"/><Relationship Id="rId9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7NAJHSFDS242-1295627390-4341472</_dlc_DocId>
    <_dlc_DocIdUrl xmlns="39adf604-ba00-4eaf-81f7-fa7b221ef4dc">
      <Url>https://caib.sharepoint.com/sites/ARXIUS-SOIB/_layouts/15/DocIdRedir.aspx?ID=7NAJHSFDS242-1295627390-4341472</Url>
      <Description>7NAJHSFDS242-1295627390-4341472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33" ma:contentTypeDescription="Crea un document nou" ma:contentTypeScope="" ma:versionID="0731ce08a0b0ebdb26c421a68e93c2b2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3e4e2ba654eed98a2ac23da691ad72ce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688F67-9616-4130-8635-B69DCDFE59B9}">
  <ds:schemaRefs>
    <ds:schemaRef ds:uri="http://schemas.microsoft.com/office/2006/metadata/properties"/>
    <ds:schemaRef ds:uri="http://schemas.microsoft.com/office/infopath/2007/PartnerControls"/>
    <ds:schemaRef ds:uri="5cd8363b-103d-482e-a584-665cb919f4de"/>
    <ds:schemaRef ds:uri="39adf604-ba00-4eaf-81f7-fa7b221ef4dc"/>
  </ds:schemaRefs>
</ds:datastoreItem>
</file>

<file path=customXml/itemProps2.xml><?xml version="1.0" encoding="utf-8"?>
<ds:datastoreItem xmlns:ds="http://schemas.openxmlformats.org/officeDocument/2006/customXml" ds:itemID="{7D9F3405-7087-4BE0-8030-A48A63DCB2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adf604-ba00-4eaf-81f7-fa7b221ef4dc"/>
    <ds:schemaRef ds:uri="5cd8363b-103d-482e-a584-665cb919f4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4681E9-C808-43DA-A21A-C8978A3EECC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16ACEA09-8C64-45F8-B764-1C6BC21880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Application>LibreOffice/6.1.5.2$Windows_x86 LibreOffice_project/90f8dcf33c87b3705e78202e3df5142b201bd805</Application>
  <Pages>2</Pages>
  <Words>473</Words>
  <Characters>2776</Characters>
  <CharactersWithSpaces>3186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Pilar Fuentes Alamán</dc:creator>
  <dc:description/>
  <cp:lastModifiedBy/>
  <cp:revision>7</cp:revision>
  <dcterms:created xsi:type="dcterms:W3CDTF">2026-05-27T07:26:00Z</dcterms:created>
  <dcterms:modified xsi:type="dcterms:W3CDTF">2026-06-01T08:20:37Z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0x0101000051345C5EC822449975CFC5154EBFDB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MediaServiceImageTags">
    <vt:lpwstr/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9575df09-6c0b-4065-9b6f-f67993031d71</vt:lpwstr>
  </property>
</Properties>
</file>